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701"/>
        <w:gridCol w:w="2430"/>
        <w:gridCol w:w="1168"/>
        <w:gridCol w:w="2552"/>
        <w:gridCol w:w="1168"/>
        <w:gridCol w:w="4131"/>
      </w:tblGrid>
      <w:tr w:rsidR="0082419D" w:rsidRPr="0082419D" w:rsidTr="0082419D">
        <w:trPr>
          <w:tblCellSpacing w:w="0" w:type="dxa"/>
        </w:trPr>
        <w:tc>
          <w:tcPr>
            <w:tcW w:w="1215" w:type="dxa"/>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4B4B4B"/>
                <w:kern w:val="0"/>
                <w:szCs w:val="21"/>
              </w:rPr>
            </w:pPr>
            <w:r w:rsidRPr="0082419D">
              <w:rPr>
                <w:rFonts w:ascii="宋体" w:eastAsia="宋体" w:hAnsi="宋体" w:cs="宋体" w:hint="eastAsia"/>
                <w:b/>
                <w:bCs/>
                <w:color w:val="4B4B4B"/>
                <w:kern w:val="0"/>
                <w:szCs w:val="21"/>
              </w:rPr>
              <w:t>信息名称：</w:t>
            </w:r>
          </w:p>
        </w:tc>
        <w:tc>
          <w:tcPr>
            <w:tcW w:w="0" w:type="auto"/>
            <w:gridSpan w:val="5"/>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CC3300"/>
                <w:kern w:val="0"/>
                <w:szCs w:val="21"/>
              </w:rPr>
            </w:pPr>
            <w:r w:rsidRPr="0082419D">
              <w:rPr>
                <w:rFonts w:ascii="宋体" w:eastAsia="宋体" w:hAnsi="宋体" w:cs="宋体" w:hint="eastAsia"/>
                <w:b/>
                <w:bCs/>
                <w:color w:val="CC3300"/>
                <w:kern w:val="0"/>
                <w:szCs w:val="21"/>
              </w:rPr>
              <w:t>教育部 国家发展改革委 财政部关于深化研究生教育改革的意见</w:t>
            </w:r>
          </w:p>
        </w:tc>
      </w:tr>
      <w:tr w:rsidR="0082419D" w:rsidRPr="0082419D" w:rsidTr="0082419D">
        <w:trPr>
          <w:tblCellSpacing w:w="0" w:type="dxa"/>
        </w:trPr>
        <w:tc>
          <w:tcPr>
            <w:tcW w:w="1215" w:type="dxa"/>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4B4B4B"/>
                <w:kern w:val="0"/>
                <w:szCs w:val="21"/>
              </w:rPr>
            </w:pPr>
            <w:r w:rsidRPr="0082419D">
              <w:rPr>
                <w:rFonts w:ascii="宋体" w:eastAsia="宋体" w:hAnsi="宋体" w:cs="宋体" w:hint="eastAsia"/>
                <w:b/>
                <w:bCs/>
                <w:color w:val="4B4B4B"/>
                <w:kern w:val="0"/>
                <w:szCs w:val="21"/>
              </w:rPr>
              <w:t>信息索引：</w:t>
            </w:r>
          </w:p>
        </w:tc>
        <w:tc>
          <w:tcPr>
            <w:tcW w:w="1000" w:type="pct"/>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color w:val="4B4B4B"/>
                <w:kern w:val="0"/>
                <w:szCs w:val="21"/>
              </w:rPr>
            </w:pPr>
            <w:r w:rsidRPr="0082419D">
              <w:rPr>
                <w:rFonts w:ascii="宋体" w:eastAsia="宋体" w:hAnsi="宋体" w:cs="宋体" w:hint="eastAsia"/>
                <w:color w:val="4B4B4B"/>
                <w:kern w:val="0"/>
                <w:szCs w:val="21"/>
              </w:rPr>
              <w:t>360A22-07-2013-0004-1</w:t>
            </w:r>
          </w:p>
        </w:tc>
        <w:tc>
          <w:tcPr>
            <w:tcW w:w="1215" w:type="dxa"/>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4B4B4B"/>
                <w:kern w:val="0"/>
                <w:szCs w:val="21"/>
              </w:rPr>
            </w:pPr>
            <w:r w:rsidRPr="0082419D">
              <w:rPr>
                <w:rFonts w:ascii="宋体" w:eastAsia="宋体" w:hAnsi="宋体" w:cs="宋体" w:hint="eastAsia"/>
                <w:b/>
                <w:bCs/>
                <w:color w:val="4B4B4B"/>
                <w:kern w:val="0"/>
                <w:szCs w:val="21"/>
              </w:rPr>
              <w:t>生成日期：</w:t>
            </w:r>
          </w:p>
        </w:tc>
        <w:tc>
          <w:tcPr>
            <w:tcW w:w="1050" w:type="pct"/>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color w:val="4B4B4B"/>
                <w:kern w:val="0"/>
                <w:szCs w:val="21"/>
              </w:rPr>
            </w:pPr>
            <w:r w:rsidRPr="0082419D">
              <w:rPr>
                <w:rFonts w:ascii="宋体" w:eastAsia="宋体" w:hAnsi="宋体" w:cs="宋体" w:hint="eastAsia"/>
                <w:color w:val="4B4B4B"/>
                <w:kern w:val="0"/>
                <w:szCs w:val="21"/>
              </w:rPr>
              <w:t>2013-04-19</w:t>
            </w:r>
          </w:p>
        </w:tc>
        <w:tc>
          <w:tcPr>
            <w:tcW w:w="1215" w:type="dxa"/>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4B4B4B"/>
                <w:kern w:val="0"/>
                <w:szCs w:val="21"/>
              </w:rPr>
            </w:pPr>
            <w:r w:rsidRPr="0082419D">
              <w:rPr>
                <w:rFonts w:ascii="宋体" w:eastAsia="宋体" w:hAnsi="宋体" w:cs="宋体" w:hint="eastAsia"/>
                <w:b/>
                <w:bCs/>
                <w:color w:val="4B4B4B"/>
                <w:kern w:val="0"/>
                <w:szCs w:val="21"/>
              </w:rPr>
              <w:t>发文机构：</w:t>
            </w:r>
          </w:p>
        </w:tc>
        <w:tc>
          <w:tcPr>
            <w:tcW w:w="1700" w:type="pct"/>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color w:val="4B4B4B"/>
                <w:kern w:val="0"/>
                <w:szCs w:val="21"/>
              </w:rPr>
            </w:pPr>
            <w:r w:rsidRPr="0082419D">
              <w:rPr>
                <w:rFonts w:ascii="宋体" w:eastAsia="宋体" w:hAnsi="宋体" w:cs="宋体" w:hint="eastAsia"/>
                <w:color w:val="4B4B4B"/>
                <w:kern w:val="0"/>
                <w:szCs w:val="21"/>
              </w:rPr>
              <w:t>教育部等3部门</w:t>
            </w:r>
          </w:p>
        </w:tc>
      </w:tr>
      <w:tr w:rsidR="0082419D" w:rsidRPr="0082419D" w:rsidTr="0082419D">
        <w:trPr>
          <w:tblCellSpacing w:w="0" w:type="dxa"/>
        </w:trPr>
        <w:tc>
          <w:tcPr>
            <w:tcW w:w="1215" w:type="dxa"/>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4B4B4B"/>
                <w:kern w:val="0"/>
                <w:szCs w:val="21"/>
              </w:rPr>
            </w:pPr>
            <w:r w:rsidRPr="0082419D">
              <w:rPr>
                <w:rFonts w:ascii="宋体" w:eastAsia="宋体" w:hAnsi="宋体" w:cs="宋体" w:hint="eastAsia"/>
                <w:b/>
                <w:bCs/>
                <w:color w:val="4B4B4B"/>
                <w:kern w:val="0"/>
                <w:szCs w:val="21"/>
              </w:rPr>
              <w:t>发文字号：</w:t>
            </w:r>
          </w:p>
        </w:tc>
        <w:tc>
          <w:tcPr>
            <w:tcW w:w="0" w:type="auto"/>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color w:val="4B4B4B"/>
                <w:kern w:val="0"/>
                <w:szCs w:val="21"/>
              </w:rPr>
            </w:pPr>
            <w:r w:rsidRPr="0082419D">
              <w:rPr>
                <w:rFonts w:ascii="宋体" w:eastAsia="宋体" w:hAnsi="宋体" w:cs="宋体" w:hint="eastAsia"/>
                <w:color w:val="4B4B4B"/>
                <w:kern w:val="0"/>
                <w:szCs w:val="21"/>
              </w:rPr>
              <w:t>教研〔2013〕1号</w:t>
            </w:r>
          </w:p>
        </w:tc>
        <w:tc>
          <w:tcPr>
            <w:tcW w:w="1215" w:type="dxa"/>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4B4B4B"/>
                <w:kern w:val="0"/>
                <w:szCs w:val="21"/>
              </w:rPr>
            </w:pPr>
            <w:r w:rsidRPr="0082419D">
              <w:rPr>
                <w:rFonts w:ascii="宋体" w:eastAsia="宋体" w:hAnsi="宋体" w:cs="宋体" w:hint="eastAsia"/>
                <w:b/>
                <w:bCs/>
                <w:color w:val="4B4B4B"/>
                <w:kern w:val="0"/>
                <w:szCs w:val="21"/>
              </w:rPr>
              <w:t>信息类别：</w:t>
            </w:r>
          </w:p>
        </w:tc>
        <w:tc>
          <w:tcPr>
            <w:tcW w:w="0" w:type="auto"/>
            <w:gridSpan w:val="3"/>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color w:val="4B4B4B"/>
                <w:kern w:val="0"/>
                <w:szCs w:val="21"/>
              </w:rPr>
            </w:pPr>
            <w:r w:rsidRPr="0082419D">
              <w:rPr>
                <w:rFonts w:ascii="宋体" w:eastAsia="宋体" w:hAnsi="宋体" w:cs="宋体" w:hint="eastAsia"/>
                <w:color w:val="4B4B4B"/>
                <w:kern w:val="0"/>
                <w:szCs w:val="21"/>
              </w:rPr>
              <w:t>高等教育</w:t>
            </w:r>
          </w:p>
        </w:tc>
      </w:tr>
      <w:tr w:rsidR="0082419D" w:rsidRPr="0082419D" w:rsidTr="0082419D">
        <w:trPr>
          <w:tblCellSpacing w:w="0" w:type="dxa"/>
        </w:trPr>
        <w:tc>
          <w:tcPr>
            <w:tcW w:w="1215" w:type="dxa"/>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b/>
                <w:bCs/>
                <w:color w:val="4B4B4B"/>
                <w:kern w:val="0"/>
                <w:szCs w:val="21"/>
              </w:rPr>
            </w:pPr>
            <w:r w:rsidRPr="0082419D">
              <w:rPr>
                <w:rFonts w:ascii="宋体" w:eastAsia="宋体" w:hAnsi="宋体" w:cs="宋体" w:hint="eastAsia"/>
                <w:b/>
                <w:bCs/>
                <w:color w:val="4B4B4B"/>
                <w:kern w:val="0"/>
                <w:szCs w:val="21"/>
              </w:rPr>
              <w:t>内容概述：</w:t>
            </w:r>
          </w:p>
        </w:tc>
        <w:tc>
          <w:tcPr>
            <w:tcW w:w="0" w:type="auto"/>
            <w:gridSpan w:val="5"/>
            <w:tcBorders>
              <w:top w:val="nil"/>
              <w:left w:val="nil"/>
              <w:bottom w:val="nil"/>
              <w:right w:val="nil"/>
            </w:tcBorders>
            <w:hideMark/>
          </w:tcPr>
          <w:p w:rsidR="0082419D" w:rsidRPr="0082419D" w:rsidRDefault="0082419D" w:rsidP="0082419D">
            <w:pPr>
              <w:widowControl/>
              <w:spacing w:line="375" w:lineRule="atLeast"/>
              <w:jc w:val="left"/>
              <w:rPr>
                <w:rFonts w:ascii="宋体" w:eastAsia="宋体" w:hAnsi="宋体" w:cs="宋体"/>
                <w:color w:val="4B4B4B"/>
                <w:kern w:val="0"/>
                <w:szCs w:val="21"/>
              </w:rPr>
            </w:pPr>
            <w:r w:rsidRPr="0082419D">
              <w:rPr>
                <w:rFonts w:ascii="宋体" w:eastAsia="宋体" w:hAnsi="宋体" w:cs="宋体" w:hint="eastAsia"/>
                <w:color w:val="4B4B4B"/>
                <w:kern w:val="0"/>
                <w:szCs w:val="21"/>
              </w:rPr>
              <w:t>为全面贯彻落实党的十八大精神和《国家中长期教育改革和发展规划纲要（2010—2020年）》，进一步提高研究生教育质量，现就深化研究生教育改革提出意见。</w:t>
            </w:r>
          </w:p>
        </w:tc>
      </w:tr>
    </w:tbl>
    <w:p w:rsidR="0082419D" w:rsidRPr="0082419D" w:rsidRDefault="0082419D" w:rsidP="0082419D">
      <w:pPr>
        <w:widowControl/>
        <w:spacing w:line="480" w:lineRule="atLeast"/>
        <w:jc w:val="center"/>
        <w:rPr>
          <w:rFonts w:ascii="微软雅黑" w:eastAsia="微软雅黑" w:hAnsi="微软雅黑" w:cs="宋体"/>
          <w:b/>
          <w:bCs/>
          <w:color w:val="4B4B4B"/>
          <w:kern w:val="0"/>
          <w:sz w:val="24"/>
          <w:szCs w:val="24"/>
        </w:rPr>
      </w:pPr>
      <w:r w:rsidRPr="0082419D">
        <w:rPr>
          <w:rFonts w:ascii="微软雅黑" w:eastAsia="微软雅黑" w:hAnsi="微软雅黑" w:cs="宋体" w:hint="eastAsia"/>
          <w:b/>
          <w:bCs/>
          <w:color w:val="4B4B4B"/>
          <w:kern w:val="0"/>
          <w:sz w:val="24"/>
          <w:szCs w:val="24"/>
        </w:rPr>
        <w:t>教研〔2013〕1号</w:t>
      </w:r>
    </w:p>
    <w:p w:rsidR="0082419D" w:rsidRPr="0082419D" w:rsidRDefault="0082419D" w:rsidP="0082419D">
      <w:pPr>
        <w:widowControl/>
        <w:jc w:val="center"/>
        <w:outlineLvl w:val="0"/>
        <w:rPr>
          <w:rFonts w:ascii="微软雅黑" w:eastAsia="微软雅黑" w:hAnsi="微软雅黑" w:cs="宋体" w:hint="eastAsia"/>
          <w:b/>
          <w:bCs/>
          <w:color w:val="4B4B4B"/>
          <w:kern w:val="36"/>
          <w:sz w:val="30"/>
          <w:szCs w:val="30"/>
        </w:rPr>
      </w:pPr>
      <w:r w:rsidRPr="0082419D">
        <w:rPr>
          <w:rFonts w:ascii="微软雅黑" w:eastAsia="微软雅黑" w:hAnsi="微软雅黑" w:cs="宋体" w:hint="eastAsia"/>
          <w:b/>
          <w:bCs/>
          <w:color w:val="4B4B4B"/>
          <w:kern w:val="36"/>
          <w:sz w:val="30"/>
          <w:szCs w:val="30"/>
        </w:rPr>
        <w:t>教育部 国家发展改革委 财政部关于</w:t>
      </w:r>
      <w:r w:rsidRPr="0082419D">
        <w:rPr>
          <w:rFonts w:ascii="微软雅黑" w:eastAsia="微软雅黑" w:hAnsi="微软雅黑" w:cs="宋体" w:hint="eastAsia"/>
          <w:b/>
          <w:bCs/>
          <w:color w:val="4B4B4B"/>
          <w:kern w:val="36"/>
          <w:sz w:val="30"/>
          <w:szCs w:val="30"/>
        </w:rPr>
        <w:br/>
        <w:t>深化研究生教育改革的意见</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各省、自治区、直辖市教育厅（教委）、发展改革委、财政厅（局），新疆生产建设兵团教育局、发展改革委、财务局，有关部门（单位）教育司（局），中国社会科学院研究生院，中共中央党校学位评定委员会，中国人民解放军学位委员会，教育部直属各高等学校：</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研究生教育是培养高层次人才的主要途径，是国家创新体系的重要组成部分。改革开放以来，我国研究生教育取得了重大成就，基本实现了立足国内培养高层次人才的战略目标。但总体上看，研究生教育还不能完全适应经济社会发展的多样化需求，培养质量与国际先进水平相比还有较大差距。为全面贯彻落实党的十八大精神和《国家中长期教育改革和发展规划纲要（2010—2020年）》，进一步提高研究生教育质量，现就深化研究生教育改革提出以下意见：</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一、指导思想和总体要求</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 指导思想：高举中国特色社会主义伟大旗帜，以邓小平理论、“三个代表”重要思想、科学发展观为指导，全面贯彻党的教育方针，把立德树人作为研究生教育的根本任务。深入实施教育、科技和人才规划纲要，坚持走内涵式发展</w:t>
      </w:r>
      <w:r w:rsidRPr="0082419D">
        <w:rPr>
          <w:rFonts w:ascii="微软雅黑" w:eastAsia="微软雅黑" w:hAnsi="微软雅黑" w:cs="宋体" w:hint="eastAsia"/>
          <w:color w:val="4B4B4B"/>
          <w:kern w:val="0"/>
          <w:sz w:val="24"/>
          <w:szCs w:val="24"/>
        </w:rPr>
        <w:lastRenderedPageBreak/>
        <w:t>道路，以服务需求、提高质量为主线，以分类推进培养模式改革、统筹构建质量保障体系为着力点，更加突出服务经济社会发展，更加突出创新精神和实践能力培养，更加突出科教结合和产学结合，更加突出对外开放，为提高国家创新力和国际竞争力提供有力支撑，为建设人才强国和人力资源强国提供坚强保证。</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 总体要求：优化类型结构，建立与培养目标相适应的招生选拔制度；鼓励特色发展，构建以研究生成长成才为中心的培养机制；提升指导能力，健全以导师为第一责任人的责权机制；改革评价机制，建立以培养单位为主体的质量保证体系；扩大对外开放，实施合作共赢的发展战略；加大支持力度，健全以政府投入为主的多渠道投入机制。通过改革，实现发展方式、类型结构、培养模式和评价机制的根本转变。到2020年，基本建成规模结构适应需要、培养模式各具特色、整体质量不断提升、拔尖创新人才不断涌现的研究生教育体系。</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二、改革招生选拔制度</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3. 优化人才培养类型结构。基本稳定学术学位授予单位和学位授权学科总体规模，建立学科动态调整机制，鼓励学科交叉与融合，进一步突出学科特色和优势。积极发展硕士专业学位研究生教育，稳步发展博士专业学位研究生教育，重视发展非全日制研究生教育。</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4. 深化招生计划管理改革。根据国家发展需要和高层次人才培养规律，合理确定研究生招生规模。加强和改进招生计划管理，对全日制和非全日制研究生招生计划实行统一管理，改革全日制研究生招生计划形式，取消国家计划和自筹经费“双轨制”。加强宏观管理，逐步建立研究生教育规模、结构、布局与经济社会发展相适应的动态调整机制。进一步完善计划分配办法，通过增量安排和存</w:t>
      </w:r>
      <w:r w:rsidRPr="0082419D">
        <w:rPr>
          <w:rFonts w:ascii="微软雅黑" w:eastAsia="微软雅黑" w:hAnsi="微软雅黑" w:cs="宋体" w:hint="eastAsia"/>
          <w:color w:val="4B4B4B"/>
          <w:kern w:val="0"/>
          <w:sz w:val="24"/>
          <w:szCs w:val="24"/>
        </w:rPr>
        <w:lastRenderedPageBreak/>
        <w:t>量调控，积极支持优势学科、基础学科、科技前沿学科和服务国家重大需求的学科发展。</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5. 建立健全科学公正的招生选拔机制。以提高研究生招生选拔质量为核心，积极推进考试招生改革，建立与培养目标相适应、有利于拔尖创新人才和高层次应用型人才脱颖而出的研究生考试招生制度。优化初试，强化复试，发挥和规范导师作用，注重对考生专业基础、综合素质和创新能力的考察。</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6. 完善招生选拔办法。推进学术学位与专业学位硕士研究生分类考试。完善专业学位研究生考试办法，注重选拔具有一定实践经验的优秀在职人员。建立博士研究生选拔“申请—审核”机制，发挥专家组审核作用，强化对科研创新能力和专业学术潜质的考察。建立博士研究生中期分流名额补充机制。对具有特殊才能的人才建立专门的选拔程序。加强对考试招生工作的管理和监督。强化考试安全工作。</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三、创新人才培养模式</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7. 拓展思想政治教育的有效途径。加强中国特色社会主义理论体系教育，把社会主义核心价值体系融入研究生教育全过程，把科学道德和学风教育纳入研究生培养各环节。广泛开展社会实践和志愿服务活动，着力增强研究生服务国家、服务人民的社会责任感。加强人文素养和科学精神培养，培育研究生正直诚信、追求真理、勇于探索、团结合作的品质。认真组织实施研究生思想政治理论课课程新方案。加强研究生党建工作。加强研究生心理健康教育和咨询工作。</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8. 完善以提高创新能力为目标的学术学位研究生培养模式。统筹安排硕士和博士培养阶段，促进课程学习和科学研究的有机结合，强化创新能力培养，探索形成各具特色的培养模式。重视对研究生进行系统科研训练，要求并支持研究</w:t>
      </w:r>
      <w:r w:rsidRPr="0082419D">
        <w:rPr>
          <w:rFonts w:ascii="微软雅黑" w:eastAsia="微软雅黑" w:hAnsi="微软雅黑" w:cs="宋体" w:hint="eastAsia"/>
          <w:color w:val="4B4B4B"/>
          <w:kern w:val="0"/>
          <w:sz w:val="24"/>
          <w:szCs w:val="24"/>
        </w:rPr>
        <w:lastRenderedPageBreak/>
        <w:t>生更多参与前沿性、高水平的科研工作，以高水平科学研究支撑高水平研究生培养。鼓励多学科交叉培养，支持研究生更多参与学术交流和国际合作，拓宽学术视野，激发创新思维。</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9. 建立以提升职业能力为导向的专业学位研究生培养模式。面向特定职业领域，培养适应专业岗位的综合素质，形成产学结合的培养模式。引导和鼓励行业企业全方位参与人才培养，充分发挥行业和专业组织在培养标准制定、教学改革等方面的指导作用，建立培养单位与行业企业相结合的专业化教师团队和联合培养基地。加强实践基地建设，强化专业学位研究生的实践能力和创业能力培养。大力推动专业学位与职业资格的有机衔接。</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10. 加强课程建设。重视发挥课程教学在研究生培养中的作用。建立完善培养单位课程体系改进、优化机制，规范课程设置审查，加强教学质量评价。增强学术学位研究生课程内容前沿性，通过高质量课程学习强化研究生的科学方法训练和学术素养培养。构建符合专业学位特点的课程体系，改革教学内容和方式，加强案例教学，探索不同形式的实践教学。</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11. 建立创新激励机制。根据研究生的学术兴趣、知识结构、能力水平，制定个性化的培养计划。发掘研究生创新潜能，鼓励研究生自主提出具有创新价值的研究课题，在导师和团队指导下开展研究，由培养单位提供必要的条件支持。制定配套政策，支持研究生为完成高水平研究适当延长学习时间。加强研究生职业发展教育和就业指导，提高研究生就业创业能力。</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12. 加大考核与淘汰力度。加强培养过程管理和学业考核，实行严格的中期考核和论文审核制度，畅通分流渠道，加大淘汰力度。建立学风监管与惩戒机制，</w:t>
      </w:r>
      <w:r w:rsidRPr="0082419D">
        <w:rPr>
          <w:rFonts w:ascii="微软雅黑" w:eastAsia="微软雅黑" w:hAnsi="微软雅黑" w:cs="宋体" w:hint="eastAsia"/>
          <w:color w:val="4B4B4B"/>
          <w:kern w:val="0"/>
          <w:sz w:val="24"/>
          <w:szCs w:val="24"/>
        </w:rPr>
        <w:lastRenderedPageBreak/>
        <w:t>严惩学术不端行为，对学位论文作假者取消学位申请资格或撤销学位。完善研究生利益诉求表达机制，加强研究生权益保护。</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四、健全导师责权机制</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13. 改革评定制度。改变单独评定研究生导师资格的做法，强化与招生培养紧密衔接的岗位意识，防止形成导师终身制。根据年度招生需要，综合考虑学科特点、师德表现、学术水平、科研任务和培养质量，确定招生导师及其指导研究生的限额。完善研究生与导师互选机制，尊重导师和学生选择权。</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14. 强化导师责任。导师是研究生培养的第一责任人，负有对研究生进行学科前沿引导、科研方法指导和学术规范教导的责任。完善导师管理评价机制。全面落实教师职业道德规范，提高师德水平，加强师风建设，发挥导师对研究生思想品德、科学伦理的示范和教育作用。研究生发生学术不端行为的，导师应承担相应责任。</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15. 提升指导能力。加强导师培训，支持导师学术交流、访学和参与行业企业实践，逐步实行学术休假制度。加强高校、科研院所和企业之间人才交流与共享，建设专兼结合的导师队伍，完善校所、</w:t>
      </w:r>
      <w:proofErr w:type="gramStart"/>
      <w:r w:rsidRPr="0082419D">
        <w:rPr>
          <w:rFonts w:ascii="微软雅黑" w:eastAsia="微软雅黑" w:hAnsi="微软雅黑" w:cs="宋体" w:hint="eastAsia"/>
          <w:color w:val="4B4B4B"/>
          <w:kern w:val="0"/>
          <w:sz w:val="24"/>
          <w:szCs w:val="24"/>
        </w:rPr>
        <w:t>校企双导师</w:t>
      </w:r>
      <w:proofErr w:type="gramEnd"/>
      <w:r w:rsidRPr="0082419D">
        <w:rPr>
          <w:rFonts w:ascii="微软雅黑" w:eastAsia="微软雅黑" w:hAnsi="微软雅黑" w:cs="宋体" w:hint="eastAsia"/>
          <w:color w:val="4B4B4B"/>
          <w:kern w:val="0"/>
          <w:sz w:val="24"/>
          <w:szCs w:val="24"/>
        </w:rPr>
        <w:t>制度。重视发挥导师团队作用。</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五、改革评价监督机制</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16. 改革质量评价机制。发布培养单位质量保证体系建设规范。按照一级学科和专业学位类别分别制定博士、硕士学位基本要求。学术学位注重学术创新能力评价，专业学位注重职业胜任能力评价。研究生教育质量评价要更加突出人才培养质量，人才培养质量评价要坚持在学培养质量与职业发展质量并重。强化质量在资源配置中的导向作用。</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lastRenderedPageBreak/>
        <w:t xml:space="preserve">　　17. 强化培养单位质量保证的主体作用。培养单位要加强培养过程的质量管理。按照一级学科和专业学位类别，分别设立研究生培养指导委员会，负责制订培养标准和方案、建设课程体系、开展质量评价等。专业学位研究生培养指导委员会应有一定比例的行业和企业专家参加。定期开展自我评估，加强国际评估。建立毕业生跟踪调查与用人单位评价的反馈机制，主动公开质量信息。</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18. 完善外部质量监督体系。加快建设以教育行政部门监管为主导，行业部门、学术组织和社会机构共同参与的质量监督体系。加强研究生教育质量评估，加大学位论文抽检力度，改进优秀博士学位论文评选办法，统筹学科评估。对评估中存在问题的单位，视情做出质量约谈、减少招生计划、停止招生直至撤销学位授权的处理。建立专业学位教育质量认证体系，鼓励培养单位参与国际教育质量认证。</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19. 建立质量信息平台。建设在学研究生学业信息管理系统，建立研究生教育质量信息分析和预警机制。加大信息公开力度，公布质量标准，发布质量报告和评估结果，接受社会监督。</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20. 规范在职人员攻读硕士专业学位和授予同等学力人员硕士、博士学位工作的管理。进一步强化培养单位办学责任，加强统一管理，建立定期检查机制。将在职人员攻读硕士专业学位纳入研究生学业信息管理系统。同等学力人员申请学位，须将学位论文在研究生教育质量信息平台上公示。研究生培养单位不得以“研究生”和“硕士、博士学位”等名义举办课程进修班。</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六、深化开放合作</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21. 推进校所、校企合作。进一步加强高等学校与科研院所和行业企业的战略合作，支持校所、校企联合建设拔尖创新人才培养平台，完善校所、校企协同</w:t>
      </w:r>
      <w:r w:rsidRPr="0082419D">
        <w:rPr>
          <w:rFonts w:ascii="微软雅黑" w:eastAsia="微软雅黑" w:hAnsi="微软雅黑" w:cs="宋体" w:hint="eastAsia"/>
          <w:color w:val="4B4B4B"/>
          <w:kern w:val="0"/>
          <w:sz w:val="24"/>
          <w:szCs w:val="24"/>
        </w:rPr>
        <w:lastRenderedPageBreak/>
        <w:t>创新和联合培养机制。紧密结合国家重大科研任务，通过跨学科、跨院校、产学研联合培养等多种途径，培养和造就科技创新和工程技术领域领军人才。</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22. 增强对外开放的主动性。服务国家对外开放战略，加快建设有利于国际互认的学位资历框架体系，继续推动双边和多边学位互认工作，加强与周边国家、区域的研究生教育合作。完善来华留学研究生政策，适时提高奖学金标准，扩大招生规模，提高生源质量，创新培养方式。扩大联合培养博士生出国留学规模，继续实施“国家建设高水平大学公派研究生”项目。支持有条件的学校建设海外教学实践基地。</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23. 营造国际化培养环境。加强国际化师资队伍建设，吸引国外优秀人才来华指导研究生。推动中外合作办学，支持与境外高水平大学合作开展“双学位”、“联合学位”项目，合作开发研究生课程。加大对研究生访学研究、短期交流、参加国际学术会议的资助力度，提高具有国际学术交流经历的研究生比例。提高管理与服务的国际化水平，形成中外研究生共学互融、跨文化交流的校园环境。</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七、强化政策和条件保障</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24. 完善投入机制。健全以政府投入为主、受教育者合理分担培养成本、培养单位多渠道筹集经费的研究生教育投入机制。培养单位要按国家有关规定加大纵向科研经费和基本科研业务费支持研究生培养的力度，统筹财政投入、科研经费、学费收入、社会捐助等各种资源，确保对研究生教学、科研和资助的投入。</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25. 完善奖助政策体系。建立长效、多元的研究生奖助政策体系。强化国家奖学金、学业奖学金和国家助学金等对研究生的激励作用。健全研究生助教、助研和助管制度。提高研究生国家助学贷款年度最高限额，确保符合条件的研究生</w:t>
      </w:r>
      <w:proofErr w:type="gramStart"/>
      <w:r w:rsidRPr="0082419D">
        <w:rPr>
          <w:rFonts w:ascii="微软雅黑" w:eastAsia="微软雅黑" w:hAnsi="微软雅黑" w:cs="宋体" w:hint="eastAsia"/>
          <w:color w:val="4B4B4B"/>
          <w:kern w:val="0"/>
          <w:sz w:val="24"/>
          <w:szCs w:val="24"/>
        </w:rPr>
        <w:lastRenderedPageBreak/>
        <w:t>应贷尽贷</w:t>
      </w:r>
      <w:proofErr w:type="gramEnd"/>
      <w:r w:rsidRPr="0082419D">
        <w:rPr>
          <w:rFonts w:ascii="微软雅黑" w:eastAsia="微软雅黑" w:hAnsi="微软雅黑" w:cs="宋体" w:hint="eastAsia"/>
          <w:color w:val="4B4B4B"/>
          <w:kern w:val="0"/>
          <w:sz w:val="24"/>
          <w:szCs w:val="24"/>
        </w:rPr>
        <w:t>。加大对基础学科、国家急需学科研究生的奖励和资助力度。奖助政策应在培养单位的招生简章中予以公开。</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26. 加强培养条件和能力建设。在国家高等教育重点建设项目中，突出对研究生教育改革和发展的支持。建立优质资源共享机制，国家各类重大项目投资的仪器设备与平台，应向研究生开放。培养单位要改善培养条件，支持研究生教育教学改革。</w:t>
      </w:r>
      <w:proofErr w:type="gramStart"/>
      <w:r w:rsidRPr="0082419D">
        <w:rPr>
          <w:rFonts w:ascii="微软雅黑" w:eastAsia="微软雅黑" w:hAnsi="微软雅黑" w:cs="宋体" w:hint="eastAsia"/>
          <w:color w:val="4B4B4B"/>
          <w:kern w:val="0"/>
          <w:sz w:val="24"/>
          <w:szCs w:val="24"/>
        </w:rPr>
        <w:t>对生均</w:t>
      </w:r>
      <w:proofErr w:type="gramEnd"/>
      <w:r w:rsidRPr="0082419D">
        <w:rPr>
          <w:rFonts w:ascii="微软雅黑" w:eastAsia="微软雅黑" w:hAnsi="微软雅黑" w:cs="宋体" w:hint="eastAsia"/>
          <w:color w:val="4B4B4B"/>
          <w:kern w:val="0"/>
          <w:sz w:val="24"/>
          <w:szCs w:val="24"/>
        </w:rPr>
        <w:t>资源过低的培养单位，减少其招生规模。对参与研究生培养和建设实践基地的企业，按规定落实税收优惠等政策。</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27. 鼓励改革试点。着力破除制约研究生教育质量提高的体制机制障碍和政策瓶颈，营造良好的政策环境。鼓励有条件的地区和培养单位开展研究生教育综合改革试点，建设拔尖创新人才和高层次应用型人才培养示范平台，积极探索提高质量的新机制。</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w:t>
      </w:r>
      <w:r w:rsidRPr="0082419D">
        <w:rPr>
          <w:rFonts w:ascii="微软雅黑" w:eastAsia="微软雅黑" w:hAnsi="微软雅黑" w:cs="宋体" w:hint="eastAsia"/>
          <w:b/>
          <w:bCs/>
          <w:color w:val="4B4B4B"/>
          <w:kern w:val="0"/>
          <w:sz w:val="24"/>
          <w:szCs w:val="24"/>
        </w:rPr>
        <w:t>八、加强组织领导</w:t>
      </w:r>
    </w:p>
    <w:p w:rsidR="0082419D" w:rsidRPr="0082419D" w:rsidRDefault="0082419D" w:rsidP="0082419D">
      <w:pPr>
        <w:widowControl/>
        <w:spacing w:line="480" w:lineRule="atLeast"/>
        <w:jc w:val="lef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 xml:space="preserve">　　28. 深化改革、提高研究生教育质量是贯彻落实党的十八大精神和教育规划纲要的一项重要任务。各级教育部门要转变职能，加强宏观指导和监督，加大地方统筹力度，扩大培养单位的自主权。研究生培养单位要高度重视研究生教育工作，认真制定本单位改革方案，强化改革的主体和责任意识，重视发挥基层学术组织在学科建设、研究生培养和质量评价中的作用。各地区和培养单位要重视宣传引导，加强风险评估，处理好推进改革与维护稳定的关系，保证改革顺利进行。</w:t>
      </w:r>
    </w:p>
    <w:p w:rsidR="0082419D" w:rsidRPr="0082419D" w:rsidRDefault="0082419D" w:rsidP="0082419D">
      <w:pPr>
        <w:widowControl/>
        <w:spacing w:line="480" w:lineRule="atLeast"/>
        <w:jc w:val="righ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教育部　国家发展改革委　财政部</w:t>
      </w:r>
    </w:p>
    <w:p w:rsidR="0082419D" w:rsidRPr="0082419D" w:rsidRDefault="0082419D" w:rsidP="0082419D">
      <w:pPr>
        <w:widowControl/>
        <w:spacing w:line="480" w:lineRule="atLeast"/>
        <w:jc w:val="right"/>
        <w:rPr>
          <w:rFonts w:ascii="微软雅黑" w:eastAsia="微软雅黑" w:hAnsi="微软雅黑" w:cs="宋体" w:hint="eastAsia"/>
          <w:color w:val="4B4B4B"/>
          <w:kern w:val="0"/>
          <w:sz w:val="24"/>
          <w:szCs w:val="24"/>
        </w:rPr>
      </w:pPr>
      <w:r w:rsidRPr="0082419D">
        <w:rPr>
          <w:rFonts w:ascii="微软雅黑" w:eastAsia="微软雅黑" w:hAnsi="微软雅黑" w:cs="宋体" w:hint="eastAsia"/>
          <w:color w:val="4B4B4B"/>
          <w:kern w:val="0"/>
          <w:sz w:val="24"/>
          <w:szCs w:val="24"/>
        </w:rPr>
        <w:t>2013年3月29日</w:t>
      </w:r>
    </w:p>
    <w:p w:rsidR="0090638C" w:rsidRDefault="0082419D"/>
    <w:sectPr w:rsidR="0090638C" w:rsidSect="005D33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19D"/>
    <w:rsid w:val="001B19E8"/>
    <w:rsid w:val="002874CE"/>
    <w:rsid w:val="003A55E0"/>
    <w:rsid w:val="005D33C8"/>
    <w:rsid w:val="0082419D"/>
    <w:rsid w:val="00A722B2"/>
    <w:rsid w:val="00AA2466"/>
    <w:rsid w:val="00C66EC4"/>
    <w:rsid w:val="00EA3E35"/>
    <w:rsid w:val="00EF2432"/>
    <w:rsid w:val="00EF45C3"/>
    <w:rsid w:val="00EF7189"/>
    <w:rsid w:val="00F224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8"/>
    <w:pPr>
      <w:widowControl w:val="0"/>
      <w:jc w:val="both"/>
    </w:pPr>
  </w:style>
  <w:style w:type="paragraph" w:styleId="1">
    <w:name w:val="heading 1"/>
    <w:basedOn w:val="a"/>
    <w:link w:val="1Char"/>
    <w:uiPriority w:val="9"/>
    <w:qFormat/>
    <w:rsid w:val="008241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419D"/>
    <w:rPr>
      <w:rFonts w:ascii="宋体" w:eastAsia="宋体" w:hAnsi="宋体" w:cs="宋体"/>
      <w:b/>
      <w:bCs/>
      <w:kern w:val="36"/>
      <w:sz w:val="48"/>
      <w:szCs w:val="48"/>
    </w:rPr>
  </w:style>
  <w:style w:type="paragraph" w:styleId="a3">
    <w:name w:val="Normal (Web)"/>
    <w:basedOn w:val="a"/>
    <w:uiPriority w:val="99"/>
    <w:semiHidden/>
    <w:unhideWhenUsed/>
    <w:rsid w:val="008241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419D"/>
    <w:rPr>
      <w:b/>
      <w:bCs/>
    </w:rPr>
  </w:style>
</w:styles>
</file>

<file path=word/webSettings.xml><?xml version="1.0" encoding="utf-8"?>
<w:webSettings xmlns:r="http://schemas.openxmlformats.org/officeDocument/2006/relationships" xmlns:w="http://schemas.openxmlformats.org/wordprocessingml/2006/main">
  <w:divs>
    <w:div w:id="2020153020">
      <w:bodyDiv w:val="1"/>
      <w:marLeft w:val="0"/>
      <w:marRight w:val="0"/>
      <w:marTop w:val="0"/>
      <w:marBottom w:val="0"/>
      <w:divBdr>
        <w:top w:val="none" w:sz="0" w:space="0" w:color="auto"/>
        <w:left w:val="none" w:sz="0" w:space="0" w:color="auto"/>
        <w:bottom w:val="none" w:sz="0" w:space="0" w:color="auto"/>
        <w:right w:val="none" w:sz="0" w:space="0" w:color="auto"/>
      </w:divBdr>
      <w:divsChild>
        <w:div w:id="1311786375">
          <w:marLeft w:val="0"/>
          <w:marRight w:val="0"/>
          <w:marTop w:val="0"/>
          <w:marBottom w:val="0"/>
          <w:divBdr>
            <w:top w:val="none" w:sz="0" w:space="0" w:color="auto"/>
            <w:left w:val="none" w:sz="0" w:space="0" w:color="auto"/>
            <w:bottom w:val="none" w:sz="0" w:space="0" w:color="auto"/>
            <w:right w:val="none" w:sz="0" w:space="0" w:color="auto"/>
          </w:divBdr>
          <w:divsChild>
            <w:div w:id="4381818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801</Words>
  <Characters>4570</Characters>
  <Application>Microsoft Office Word</Application>
  <DocSecurity>0</DocSecurity>
  <Lines>38</Lines>
  <Paragraphs>10</Paragraphs>
  <ScaleCrop>false</ScaleCrop>
  <Company>Microsoft</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1</cp:revision>
  <dcterms:created xsi:type="dcterms:W3CDTF">2018-05-17T01:54:00Z</dcterms:created>
  <dcterms:modified xsi:type="dcterms:W3CDTF">2018-05-17T01:54:00Z</dcterms:modified>
</cp:coreProperties>
</file>