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FD" w:rsidRDefault="004B0378" w:rsidP="004B4ED3">
      <w:pPr>
        <w:tabs>
          <w:tab w:val="left" w:pos="1110"/>
        </w:tabs>
        <w:spacing w:line="1040" w:lineRule="exact"/>
        <w:ind w:firstLineChars="100" w:firstLine="1227"/>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rsidR="003471FD" w:rsidRDefault="003471FD" w:rsidP="007F3400">
      <w:pPr>
        <w:tabs>
          <w:tab w:val="left" w:pos="7920"/>
          <w:tab w:val="left" w:pos="8460"/>
        </w:tabs>
        <w:spacing w:line="600" w:lineRule="exact"/>
        <w:jc w:val="left"/>
        <w:rPr>
          <w:rFonts w:eastAsia="方正仿宋_GBK"/>
          <w:sz w:val="32"/>
          <w:szCs w:val="32"/>
        </w:rPr>
      </w:pPr>
    </w:p>
    <w:p w:rsidR="007F3400" w:rsidRPr="002B7AA6" w:rsidRDefault="004B4ED3" w:rsidP="002B7AA6">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2019〕144号</w:t>
      </w:r>
      <w:bookmarkEnd w:id="0"/>
    </w:p>
    <w:p w:rsidR="0007463B" w:rsidRDefault="00FF4F34" w:rsidP="0007463B">
      <w:pPr>
        <w:spacing w:line="1100" w:lineRule="exact"/>
        <w:jc w:val="center"/>
        <w:rPr>
          <w:rFonts w:ascii="方正小标宋简体" w:eastAsia="方正小标宋简体" w:hAnsi="宋体"/>
          <w:bCs/>
          <w:color w:val="000000" w:themeColor="text1"/>
          <w:sz w:val="36"/>
          <w:szCs w:val="36"/>
        </w:rPr>
      </w:pPr>
      <w:r>
        <w:rPr>
          <w:noProof/>
        </w:rPr>
        <w:pict>
          <v:line id="_x0000_s1048" style="position:absolute;left:0;text-align:left;flip:y;z-index:251657728" from="-8.8pt,14.45pt" to="454.65pt,15pt" strokecolor="red" strokeweight="2pt">
            <w10:wrap type="square"/>
          </v:line>
        </w:pict>
      </w:r>
      <w:r w:rsidR="0007463B">
        <w:rPr>
          <w:rFonts w:ascii="方正小标宋简体" w:eastAsia="方正小标宋简体" w:hAnsi="宋体" w:hint="eastAsia"/>
          <w:bCs/>
          <w:color w:val="000000" w:themeColor="text1"/>
          <w:sz w:val="36"/>
          <w:szCs w:val="36"/>
        </w:rPr>
        <w:t>关于印发《</w:t>
      </w:r>
      <w:r w:rsidR="0007463B" w:rsidRPr="004B196F">
        <w:rPr>
          <w:rFonts w:ascii="方正小标宋简体" w:eastAsia="方正小标宋简体" w:hAnsi="宋体" w:hint="eastAsia"/>
          <w:bCs/>
          <w:color w:val="000000" w:themeColor="text1"/>
          <w:sz w:val="36"/>
          <w:szCs w:val="36"/>
        </w:rPr>
        <w:t>西华大学推荐优秀应届本科毕业生</w:t>
      </w:r>
    </w:p>
    <w:p w:rsidR="0007463B" w:rsidRDefault="0007463B" w:rsidP="0007463B">
      <w:pPr>
        <w:snapToGrid w:val="0"/>
        <w:spacing w:line="620" w:lineRule="exact"/>
        <w:jc w:val="center"/>
        <w:rPr>
          <w:rFonts w:ascii="方正小标宋简体" w:eastAsia="方正小标宋简体" w:hAnsi="宋体"/>
          <w:bCs/>
          <w:color w:val="000000" w:themeColor="text1"/>
          <w:sz w:val="36"/>
          <w:szCs w:val="36"/>
        </w:rPr>
      </w:pPr>
      <w:r w:rsidRPr="004B196F">
        <w:rPr>
          <w:rFonts w:ascii="方正小标宋简体" w:eastAsia="方正小标宋简体" w:hAnsi="宋体" w:hint="eastAsia"/>
          <w:bCs/>
          <w:color w:val="000000" w:themeColor="text1"/>
          <w:sz w:val="36"/>
          <w:szCs w:val="36"/>
        </w:rPr>
        <w:t>免试攻读硕士研究生工作实施办法</w:t>
      </w:r>
      <w:r>
        <w:rPr>
          <w:rFonts w:ascii="方正小标宋简体" w:eastAsia="方正小标宋简体" w:hAnsi="宋体" w:hint="eastAsia"/>
          <w:bCs/>
          <w:color w:val="000000" w:themeColor="text1"/>
          <w:sz w:val="36"/>
          <w:szCs w:val="36"/>
        </w:rPr>
        <w:t>》的通知</w:t>
      </w:r>
    </w:p>
    <w:p w:rsidR="0007463B" w:rsidRPr="0007463B" w:rsidRDefault="0007463B" w:rsidP="0007463B">
      <w:pPr>
        <w:snapToGrid w:val="0"/>
        <w:spacing w:line="620" w:lineRule="exact"/>
        <w:jc w:val="center"/>
        <w:rPr>
          <w:rFonts w:ascii="方正小标宋简体" w:eastAsia="方正小标宋简体" w:hAnsi="宋体"/>
          <w:bCs/>
          <w:color w:val="000000" w:themeColor="text1"/>
          <w:sz w:val="36"/>
          <w:szCs w:val="36"/>
        </w:rPr>
      </w:pPr>
    </w:p>
    <w:p w:rsidR="0007463B" w:rsidRPr="00141510" w:rsidRDefault="0007463B" w:rsidP="002D37FD">
      <w:pPr>
        <w:spacing w:line="560" w:lineRule="exact"/>
        <w:ind w:right="-2"/>
        <w:jc w:val="left"/>
        <w:rPr>
          <w:rFonts w:ascii="仿宋" w:eastAsia="仿宋" w:hAnsi="仿宋"/>
          <w:color w:val="000000" w:themeColor="text1"/>
          <w:kern w:val="0"/>
          <w:sz w:val="32"/>
          <w:szCs w:val="32"/>
        </w:rPr>
      </w:pPr>
      <w:r w:rsidRPr="00141510">
        <w:rPr>
          <w:rFonts w:ascii="仿宋" w:eastAsia="仿宋" w:hAnsi="仿宋" w:hint="eastAsia"/>
          <w:color w:val="000000" w:themeColor="text1"/>
          <w:kern w:val="0"/>
          <w:sz w:val="32"/>
          <w:szCs w:val="32"/>
        </w:rPr>
        <w:t>各单位：</w:t>
      </w:r>
    </w:p>
    <w:p w:rsidR="0007463B" w:rsidRPr="00141510" w:rsidRDefault="00FF4F34">
      <w:pPr>
        <w:spacing w:line="560" w:lineRule="exact"/>
        <w:ind w:right="-2" w:firstLineChars="200" w:firstLine="640"/>
        <w:rPr>
          <w:rFonts w:ascii="仿宋" w:eastAsia="仿宋" w:hAnsi="仿宋"/>
          <w:color w:val="000000" w:themeColor="text1"/>
          <w:kern w:val="0"/>
          <w:sz w:val="32"/>
          <w:szCs w:val="32"/>
        </w:rPr>
      </w:pPr>
      <w:r>
        <w:rPr>
          <w:rFonts w:ascii="仿宋" w:eastAsia="仿宋" w:hAnsi="仿宋"/>
          <w:noProof/>
          <w:color w:val="000000" w:themeColor="text1"/>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alt="DBSTEP_MARK&#10;FILENAME=5624363336658209911docx&#10;MARKNAME=西华大学&#10;USERNAME=校办-公文&#10;DATETIME=2019-07-18 17:20:14&#10;MARKGUID={1A1DC0F2-292C-49F2-8032-359BCBE242F6}" style="position:absolute;left:0;text-align:left;margin-left:206.3pt;margin-top:74.2pt;width:170.4pt;height:129.05pt;rotation:1127032fd;z-index:-251657728;visibility:visible;mso-position-horizontal-relative:text;mso-position-vertical-relative:text">
            <v:imagedata r:id="rId7" o:title="Signature" chromakey="white" grayscale="t"/>
          </v:shape>
        </w:pict>
      </w:r>
      <w:r w:rsidR="0007463B" w:rsidRPr="00141510">
        <w:rPr>
          <w:rFonts w:ascii="仿宋" w:eastAsia="仿宋" w:hAnsi="仿宋" w:hint="eastAsia"/>
          <w:color w:val="000000" w:themeColor="text1"/>
          <w:kern w:val="0"/>
          <w:sz w:val="32"/>
          <w:szCs w:val="32"/>
        </w:rPr>
        <w:t>《西华大学推荐优秀应届本科毕业生免试攻读硕士研究生工作实施办法》经</w:t>
      </w:r>
      <w:r w:rsidR="0007463B" w:rsidRPr="00141510">
        <w:rPr>
          <w:rFonts w:ascii="仿宋" w:eastAsia="仿宋" w:hAnsi="仿宋"/>
          <w:color w:val="000000" w:themeColor="text1"/>
          <w:kern w:val="0"/>
          <w:sz w:val="32"/>
          <w:szCs w:val="32"/>
        </w:rPr>
        <w:t>2019</w:t>
      </w:r>
      <w:r w:rsidR="0007463B" w:rsidRPr="00141510">
        <w:rPr>
          <w:rFonts w:ascii="仿宋" w:eastAsia="仿宋" w:hAnsi="仿宋" w:hint="eastAsia"/>
          <w:color w:val="000000" w:themeColor="text1"/>
          <w:kern w:val="0"/>
          <w:sz w:val="32"/>
          <w:szCs w:val="32"/>
        </w:rPr>
        <w:t>年</w:t>
      </w:r>
      <w:r w:rsidR="0007463B" w:rsidRPr="00141510">
        <w:rPr>
          <w:rFonts w:ascii="仿宋" w:eastAsia="仿宋" w:hAnsi="仿宋"/>
          <w:color w:val="000000" w:themeColor="text1"/>
          <w:kern w:val="0"/>
          <w:sz w:val="32"/>
          <w:szCs w:val="32"/>
        </w:rPr>
        <w:t>7月10</w:t>
      </w:r>
      <w:r w:rsidR="0007463B" w:rsidRPr="00141510">
        <w:rPr>
          <w:rFonts w:ascii="仿宋" w:eastAsia="仿宋" w:hAnsi="仿宋" w:hint="eastAsia"/>
          <w:color w:val="000000" w:themeColor="text1"/>
          <w:kern w:val="0"/>
          <w:sz w:val="32"/>
          <w:szCs w:val="32"/>
        </w:rPr>
        <w:t>日学校校务会审议通过，现予印发，请遵照执行。</w:t>
      </w:r>
    </w:p>
    <w:p w:rsidR="0007463B" w:rsidRPr="00141510" w:rsidRDefault="0007463B" w:rsidP="00141510">
      <w:pPr>
        <w:spacing w:line="560" w:lineRule="exact"/>
        <w:ind w:right="-2" w:firstLineChars="200" w:firstLine="640"/>
        <w:jc w:val="left"/>
        <w:rPr>
          <w:rFonts w:ascii="仿宋" w:eastAsia="仿宋" w:hAnsi="仿宋"/>
          <w:color w:val="000000" w:themeColor="text1"/>
          <w:kern w:val="0"/>
          <w:sz w:val="32"/>
          <w:szCs w:val="32"/>
        </w:rPr>
      </w:pPr>
    </w:p>
    <w:p w:rsidR="0007463B" w:rsidRPr="00141510" w:rsidRDefault="0007463B" w:rsidP="00141510">
      <w:pPr>
        <w:spacing w:line="560" w:lineRule="exact"/>
        <w:ind w:right="-2" w:firstLineChars="200" w:firstLine="640"/>
        <w:jc w:val="left"/>
        <w:rPr>
          <w:rFonts w:ascii="仿宋" w:eastAsia="仿宋" w:hAnsi="仿宋"/>
          <w:color w:val="000000" w:themeColor="text1"/>
          <w:kern w:val="0"/>
          <w:sz w:val="32"/>
          <w:szCs w:val="32"/>
        </w:rPr>
      </w:pPr>
    </w:p>
    <w:p w:rsidR="0007463B" w:rsidRPr="00141510" w:rsidRDefault="0007463B" w:rsidP="00141510">
      <w:pPr>
        <w:spacing w:line="560" w:lineRule="exact"/>
        <w:ind w:right="-2" w:firstLineChars="1754" w:firstLine="5613"/>
        <w:jc w:val="left"/>
        <w:rPr>
          <w:rFonts w:ascii="仿宋" w:eastAsia="仿宋" w:hAnsi="仿宋"/>
          <w:color w:val="000000" w:themeColor="text1"/>
          <w:kern w:val="0"/>
          <w:sz w:val="32"/>
          <w:szCs w:val="32"/>
        </w:rPr>
      </w:pPr>
      <w:r w:rsidRPr="00141510">
        <w:rPr>
          <w:rFonts w:ascii="仿宋" w:eastAsia="仿宋" w:hAnsi="仿宋" w:hint="eastAsia"/>
          <w:color w:val="000000" w:themeColor="text1"/>
          <w:kern w:val="0"/>
          <w:sz w:val="32"/>
          <w:szCs w:val="32"/>
        </w:rPr>
        <w:t>西华大学</w:t>
      </w:r>
    </w:p>
    <w:p w:rsidR="0007463B" w:rsidRDefault="0007463B" w:rsidP="00141510">
      <w:pPr>
        <w:wordWrap w:val="0"/>
        <w:spacing w:line="560" w:lineRule="exact"/>
        <w:ind w:right="1331" w:firstLineChars="1594" w:firstLine="5101"/>
        <w:jc w:val="right"/>
        <w:rPr>
          <w:rFonts w:ascii="仿宋" w:eastAsia="仿宋" w:hAnsi="仿宋"/>
          <w:color w:val="000000" w:themeColor="text1"/>
          <w:kern w:val="0"/>
          <w:sz w:val="30"/>
          <w:szCs w:val="30"/>
        </w:rPr>
      </w:pPr>
      <w:r w:rsidRPr="00141510">
        <w:rPr>
          <w:rFonts w:ascii="仿宋" w:eastAsia="仿宋" w:hAnsi="仿宋"/>
          <w:color w:val="000000" w:themeColor="text1"/>
          <w:kern w:val="0"/>
          <w:sz w:val="32"/>
          <w:szCs w:val="32"/>
        </w:rPr>
        <w:t>2019</w:t>
      </w:r>
      <w:r w:rsidRPr="00141510">
        <w:rPr>
          <w:rFonts w:ascii="仿宋" w:eastAsia="仿宋" w:hAnsi="仿宋" w:hint="eastAsia"/>
          <w:color w:val="000000" w:themeColor="text1"/>
          <w:kern w:val="0"/>
          <w:sz w:val="32"/>
          <w:szCs w:val="32"/>
        </w:rPr>
        <w:t>年</w:t>
      </w:r>
      <w:r w:rsidRPr="00141510">
        <w:rPr>
          <w:rFonts w:ascii="仿宋" w:eastAsia="仿宋" w:hAnsi="仿宋"/>
          <w:color w:val="000000" w:themeColor="text1"/>
          <w:kern w:val="0"/>
          <w:sz w:val="32"/>
          <w:szCs w:val="32"/>
        </w:rPr>
        <w:t>7月12</w:t>
      </w:r>
      <w:r w:rsidRPr="00141510">
        <w:rPr>
          <w:rFonts w:ascii="仿宋" w:eastAsia="仿宋" w:hAnsi="仿宋" w:hint="eastAsia"/>
          <w:color w:val="000000" w:themeColor="text1"/>
          <w:kern w:val="0"/>
          <w:sz w:val="32"/>
          <w:szCs w:val="32"/>
        </w:rPr>
        <w:t>日</w:t>
      </w:r>
      <w:r w:rsidRPr="00141510">
        <w:rPr>
          <w:rFonts w:ascii="仿宋" w:eastAsia="仿宋" w:hAnsi="仿宋"/>
          <w:color w:val="000000" w:themeColor="text1"/>
          <w:kern w:val="0"/>
          <w:sz w:val="32"/>
          <w:szCs w:val="32"/>
        </w:rPr>
        <w:t xml:space="preserve"> </w:t>
      </w:r>
      <w:r w:rsidR="004B4ED3">
        <w:rPr>
          <w:rFonts w:ascii="仿宋" w:eastAsia="仿宋" w:hAnsi="仿宋" w:hint="eastAsia"/>
          <w:color w:val="000000" w:themeColor="text1"/>
          <w:kern w:val="0"/>
          <w:sz w:val="32"/>
          <w:szCs w:val="32"/>
        </w:rPr>
        <w:t xml:space="preserve"> </w:t>
      </w:r>
      <w:r w:rsidRPr="00141510">
        <w:rPr>
          <w:rFonts w:ascii="仿宋" w:eastAsia="仿宋" w:hAnsi="仿宋"/>
          <w:color w:val="000000" w:themeColor="text1"/>
          <w:kern w:val="0"/>
          <w:sz w:val="32"/>
          <w:szCs w:val="32"/>
        </w:rPr>
        <w:t xml:space="preserve">  </w:t>
      </w:r>
      <w:r>
        <w:rPr>
          <w:rFonts w:ascii="仿宋" w:eastAsia="仿宋" w:hAnsi="仿宋" w:hint="eastAsia"/>
          <w:color w:val="000000" w:themeColor="text1"/>
          <w:kern w:val="0"/>
          <w:sz w:val="30"/>
          <w:szCs w:val="30"/>
        </w:rPr>
        <w:t xml:space="preserve">     </w:t>
      </w:r>
    </w:p>
    <w:p w:rsidR="0007463B" w:rsidRDefault="0007463B" w:rsidP="0007463B">
      <w:pPr>
        <w:snapToGrid w:val="0"/>
        <w:spacing w:line="620" w:lineRule="exact"/>
        <w:jc w:val="center"/>
        <w:rPr>
          <w:rFonts w:ascii="方正小标宋简体" w:eastAsia="方正小标宋简体" w:hAnsi="宋体"/>
          <w:bCs/>
          <w:color w:val="000000" w:themeColor="text1"/>
          <w:sz w:val="36"/>
          <w:szCs w:val="36"/>
        </w:rPr>
      </w:pPr>
      <w:r>
        <w:rPr>
          <w:rFonts w:ascii="方正小标宋简体" w:eastAsia="方正小标宋简体" w:hAnsi="宋体"/>
          <w:bCs/>
          <w:color w:val="000000" w:themeColor="text1"/>
          <w:sz w:val="36"/>
          <w:szCs w:val="36"/>
        </w:rPr>
        <w:br w:type="page"/>
      </w:r>
      <w:r w:rsidRPr="004B196F">
        <w:rPr>
          <w:rFonts w:ascii="方正小标宋简体" w:eastAsia="方正小标宋简体" w:hAnsi="宋体" w:hint="eastAsia"/>
          <w:bCs/>
          <w:color w:val="000000" w:themeColor="text1"/>
          <w:sz w:val="36"/>
          <w:szCs w:val="36"/>
        </w:rPr>
        <w:t>西华大学推荐优秀应届本科毕业生免试攻读</w:t>
      </w:r>
    </w:p>
    <w:p w:rsidR="0007463B" w:rsidRDefault="0007463B" w:rsidP="0007463B">
      <w:pPr>
        <w:snapToGrid w:val="0"/>
        <w:spacing w:line="620" w:lineRule="exact"/>
        <w:jc w:val="center"/>
        <w:rPr>
          <w:rFonts w:ascii="方正小标宋简体" w:eastAsia="方正小标宋简体" w:hAnsi="宋体"/>
          <w:bCs/>
          <w:color w:val="000000" w:themeColor="text1"/>
          <w:sz w:val="36"/>
          <w:szCs w:val="36"/>
        </w:rPr>
      </w:pPr>
      <w:r w:rsidRPr="004B196F">
        <w:rPr>
          <w:rFonts w:ascii="方正小标宋简体" w:eastAsia="方正小标宋简体" w:hAnsi="宋体" w:hint="eastAsia"/>
          <w:bCs/>
          <w:color w:val="000000" w:themeColor="text1"/>
          <w:sz w:val="36"/>
          <w:szCs w:val="36"/>
        </w:rPr>
        <w:t>硕士研究生工作实施办法</w:t>
      </w:r>
    </w:p>
    <w:p w:rsidR="0007463B" w:rsidRPr="0096211D" w:rsidRDefault="0007463B" w:rsidP="00141510">
      <w:pPr>
        <w:snapToGrid w:val="0"/>
        <w:spacing w:line="560" w:lineRule="exact"/>
        <w:jc w:val="center"/>
        <w:rPr>
          <w:rFonts w:ascii="方正小标宋简体" w:eastAsia="方正小标宋简体" w:hAnsi="宋体"/>
          <w:bCs/>
          <w:color w:val="000000" w:themeColor="text1"/>
          <w:sz w:val="36"/>
          <w:szCs w:val="36"/>
        </w:rPr>
      </w:pPr>
    </w:p>
    <w:p w:rsidR="0007463B" w:rsidRPr="0007463B" w:rsidRDefault="0007463B" w:rsidP="00141510">
      <w:pPr>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推荐优秀应届本科毕业生免试攻读硕士学位研究生</w:t>
      </w:r>
      <w:r w:rsidR="004B4ED3">
        <w:rPr>
          <w:rFonts w:ascii="仿宋" w:eastAsia="仿宋" w:hAnsi="仿宋" w:hint="eastAsia"/>
          <w:color w:val="000000" w:themeColor="text1"/>
          <w:kern w:val="0"/>
          <w:sz w:val="32"/>
          <w:szCs w:val="32"/>
        </w:rPr>
        <w:t>（</w:t>
      </w:r>
      <w:r w:rsidRPr="0007463B">
        <w:rPr>
          <w:rFonts w:ascii="仿宋" w:eastAsia="仿宋" w:hAnsi="仿宋" w:hint="eastAsia"/>
          <w:color w:val="000000" w:themeColor="text1"/>
          <w:kern w:val="0"/>
          <w:sz w:val="32"/>
          <w:szCs w:val="32"/>
        </w:rPr>
        <w:t>以下简称推免生</w:t>
      </w:r>
      <w:r w:rsidR="004B4ED3" w:rsidRPr="004B4ED3">
        <w:rPr>
          <w:rFonts w:ascii="仿宋" w:eastAsia="仿宋" w:hAnsi="仿宋" w:hint="eastAsia"/>
          <w:color w:val="000000"/>
          <w:kern w:val="0"/>
          <w:sz w:val="32"/>
          <w:szCs w:val="32"/>
        </w:rPr>
        <w:t>）</w:t>
      </w:r>
      <w:r w:rsidRPr="0007463B">
        <w:rPr>
          <w:rFonts w:ascii="仿宋" w:eastAsia="仿宋" w:hAnsi="仿宋" w:hint="eastAsia"/>
          <w:color w:val="000000" w:themeColor="text1"/>
          <w:kern w:val="0"/>
          <w:sz w:val="32"/>
          <w:szCs w:val="32"/>
        </w:rPr>
        <w:t>制度，是我国硕士研究生招生制度的重要组成部分，是研究生招生制度改革的重要内容，是激励高校在校学生勤奋学习、积极创新、全面发展的有效措施，是提高研究生选拔质量，培养拔尖创新人才的重要保证。根据《全国普通高等学校推荐优秀应届本科毕业生免试攻读硕士学位研究生工作管理办法(试行)》</w:t>
      </w:r>
      <w:r w:rsidR="004B4ED3">
        <w:rPr>
          <w:rFonts w:ascii="仿宋" w:eastAsia="仿宋" w:hAnsi="仿宋" w:hint="eastAsia"/>
          <w:color w:val="000000" w:themeColor="text1"/>
          <w:kern w:val="0"/>
          <w:sz w:val="32"/>
          <w:szCs w:val="32"/>
        </w:rPr>
        <w:t>（</w:t>
      </w:r>
      <w:r w:rsidRPr="0007463B">
        <w:rPr>
          <w:rFonts w:ascii="仿宋" w:eastAsia="仿宋" w:hAnsi="仿宋" w:hint="eastAsia"/>
          <w:color w:val="000000" w:themeColor="text1"/>
          <w:kern w:val="0"/>
          <w:sz w:val="32"/>
          <w:szCs w:val="32"/>
        </w:rPr>
        <w:t>教学〔2006〕14号</w:t>
      </w:r>
      <w:r w:rsidR="004B4ED3" w:rsidRPr="004B4ED3">
        <w:rPr>
          <w:rFonts w:ascii="仿宋" w:eastAsia="仿宋" w:hAnsi="仿宋" w:hint="eastAsia"/>
          <w:color w:val="000000"/>
          <w:kern w:val="0"/>
          <w:sz w:val="32"/>
          <w:szCs w:val="32"/>
        </w:rPr>
        <w:t>）</w:t>
      </w:r>
      <w:r w:rsidRPr="0007463B">
        <w:rPr>
          <w:rFonts w:ascii="仿宋" w:eastAsia="仿宋" w:hAnsi="仿宋" w:hint="eastAsia"/>
          <w:color w:val="000000" w:themeColor="text1"/>
          <w:kern w:val="0"/>
          <w:sz w:val="32"/>
          <w:szCs w:val="32"/>
        </w:rPr>
        <w:t>及《教育部</w:t>
      </w:r>
      <w:r w:rsidRPr="0007463B">
        <w:rPr>
          <w:rFonts w:ascii="仿宋" w:eastAsia="仿宋" w:hAnsi="仿宋"/>
          <w:color w:val="000000" w:themeColor="text1"/>
          <w:kern w:val="0"/>
          <w:sz w:val="32"/>
          <w:szCs w:val="32"/>
        </w:rPr>
        <w:t>办公厅</w:t>
      </w:r>
      <w:r w:rsidRPr="0007463B">
        <w:rPr>
          <w:rFonts w:ascii="仿宋" w:eastAsia="仿宋" w:hAnsi="仿宋" w:hint="eastAsia"/>
          <w:color w:val="000000" w:themeColor="text1"/>
          <w:kern w:val="0"/>
          <w:sz w:val="32"/>
          <w:szCs w:val="32"/>
        </w:rPr>
        <w:t>关于做好201</w:t>
      </w:r>
      <w:r w:rsidRPr="0007463B">
        <w:rPr>
          <w:rFonts w:ascii="仿宋" w:eastAsia="仿宋" w:hAnsi="仿宋"/>
          <w:color w:val="000000" w:themeColor="text1"/>
          <w:kern w:val="0"/>
          <w:sz w:val="32"/>
          <w:szCs w:val="32"/>
        </w:rPr>
        <w:t>9</w:t>
      </w:r>
      <w:r w:rsidRPr="0007463B">
        <w:rPr>
          <w:rFonts w:ascii="仿宋" w:eastAsia="仿宋" w:hAnsi="仿宋" w:hint="eastAsia"/>
          <w:color w:val="000000" w:themeColor="text1"/>
          <w:kern w:val="0"/>
          <w:sz w:val="32"/>
          <w:szCs w:val="32"/>
        </w:rPr>
        <w:t>年推荐优秀应届本科毕业生免试攻读研究生工作的通知》</w:t>
      </w:r>
      <w:r w:rsidR="004B4ED3">
        <w:rPr>
          <w:rFonts w:ascii="仿宋" w:eastAsia="仿宋" w:hAnsi="仿宋" w:hint="eastAsia"/>
          <w:color w:val="000000" w:themeColor="text1"/>
          <w:kern w:val="0"/>
          <w:sz w:val="32"/>
          <w:szCs w:val="32"/>
        </w:rPr>
        <w:t>（</w:t>
      </w:r>
      <w:r w:rsidRPr="0007463B">
        <w:rPr>
          <w:rFonts w:ascii="仿宋" w:eastAsia="仿宋" w:hAnsi="仿宋" w:hint="eastAsia"/>
          <w:color w:val="000000" w:themeColor="text1"/>
          <w:kern w:val="0"/>
          <w:sz w:val="32"/>
          <w:szCs w:val="32"/>
        </w:rPr>
        <w:t>教学厅〔2018〕10号</w:t>
      </w:r>
      <w:r w:rsidR="004B4ED3" w:rsidRPr="004B4ED3">
        <w:rPr>
          <w:rFonts w:ascii="仿宋" w:eastAsia="仿宋" w:hAnsi="仿宋" w:hint="eastAsia"/>
          <w:color w:val="000000"/>
          <w:kern w:val="0"/>
          <w:sz w:val="32"/>
          <w:szCs w:val="32"/>
        </w:rPr>
        <w:t>）</w:t>
      </w:r>
      <w:r w:rsidRPr="0007463B">
        <w:rPr>
          <w:rFonts w:ascii="仿宋" w:eastAsia="仿宋" w:hAnsi="仿宋" w:hint="eastAsia"/>
          <w:color w:val="000000" w:themeColor="text1"/>
          <w:kern w:val="0"/>
          <w:sz w:val="32"/>
          <w:szCs w:val="32"/>
        </w:rPr>
        <w:t>精神，结合我校实际情况，特制定本实施办法。</w:t>
      </w:r>
    </w:p>
    <w:p w:rsidR="0007463B" w:rsidRPr="0007463B" w:rsidRDefault="0007463B" w:rsidP="00141510">
      <w:pPr>
        <w:widowControl/>
        <w:spacing w:line="560" w:lineRule="exact"/>
        <w:ind w:firstLineChars="200" w:firstLine="640"/>
        <w:rPr>
          <w:rFonts w:ascii="黑体" w:eastAsia="黑体" w:hAnsi="黑体"/>
          <w:color w:val="000000" w:themeColor="text1"/>
          <w:kern w:val="0"/>
          <w:sz w:val="32"/>
          <w:szCs w:val="32"/>
        </w:rPr>
      </w:pPr>
      <w:r w:rsidRPr="0007463B">
        <w:rPr>
          <w:rFonts w:ascii="黑体" w:eastAsia="黑体" w:hAnsi="黑体" w:hint="eastAsia"/>
          <w:bCs/>
          <w:color w:val="000000" w:themeColor="text1"/>
          <w:kern w:val="0"/>
          <w:sz w:val="32"/>
          <w:szCs w:val="32"/>
        </w:rPr>
        <w:t>一、工作原则</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1.推免生工作坚持公开、公平、公正的原则，在对考生进行全面考查的基础上，择优选拔，确定推免初试资格，并向招生单位推荐。做到程序规范、过程透明，结果公开。</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2.在学生品德优良的基础上，推荐工作既要注重对学生历年学习成绩的考查，又要注重对学生学习能力、创新能力以及其他特长的考查。推荐工作中，将根据学生综合记分排序，择优确定推免生。</w:t>
      </w:r>
    </w:p>
    <w:p w:rsidR="0007463B" w:rsidRPr="0007463B" w:rsidRDefault="0007463B" w:rsidP="00141510">
      <w:pPr>
        <w:widowControl/>
        <w:spacing w:line="560" w:lineRule="exact"/>
        <w:ind w:firstLineChars="200" w:firstLine="640"/>
        <w:rPr>
          <w:rFonts w:ascii="黑体" w:eastAsia="黑体" w:hAnsi="黑体"/>
          <w:bCs/>
          <w:color w:val="000000" w:themeColor="text1"/>
          <w:kern w:val="0"/>
          <w:sz w:val="32"/>
          <w:szCs w:val="32"/>
        </w:rPr>
      </w:pPr>
      <w:r w:rsidRPr="0007463B">
        <w:rPr>
          <w:rFonts w:ascii="黑体" w:eastAsia="黑体" w:hAnsi="黑体" w:hint="eastAsia"/>
          <w:bCs/>
          <w:color w:val="000000" w:themeColor="text1"/>
          <w:kern w:val="0"/>
          <w:sz w:val="32"/>
          <w:szCs w:val="32"/>
        </w:rPr>
        <w:t>二、组织领导</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1.学校成立由分管研究生工作校领导任组长、分管学生工作的校领导任副组长的推免生遴选工作领导小组，对学院推荐的推免生进行复审，确定推免生名单。领导小组成员由研究生部、纪委纪检监察室、教务处、学生工作部（处）、校团委、科技处等有关部门负责人及教授代表组成。领导小组下设办公室，设在研究生部研究生招生科。</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2.各学院成立由院长（常务副院长）任组长，党委书记任副组长的推免生遴选工作小组，具体实施本学院的推荐工作。成员应包括学院分管研究生工作、教学工作和学生工作的院领导，以及学院学工办、团委、教学科研办公室负责人及教师代表等。</w:t>
      </w:r>
    </w:p>
    <w:p w:rsidR="0007463B" w:rsidRPr="0007463B" w:rsidRDefault="0007463B" w:rsidP="00141510">
      <w:pPr>
        <w:widowControl/>
        <w:spacing w:line="560" w:lineRule="exact"/>
        <w:ind w:firstLineChars="200" w:firstLine="640"/>
        <w:rPr>
          <w:rFonts w:ascii="黑体" w:eastAsia="黑体" w:hAnsi="黑体"/>
          <w:bCs/>
          <w:color w:val="000000" w:themeColor="text1"/>
          <w:kern w:val="0"/>
          <w:sz w:val="32"/>
          <w:szCs w:val="32"/>
        </w:rPr>
      </w:pPr>
      <w:r w:rsidRPr="0007463B">
        <w:rPr>
          <w:rFonts w:ascii="黑体" w:eastAsia="黑体" w:hAnsi="黑体" w:hint="eastAsia"/>
          <w:bCs/>
          <w:color w:val="000000" w:themeColor="text1"/>
          <w:kern w:val="0"/>
          <w:sz w:val="32"/>
          <w:szCs w:val="32"/>
        </w:rPr>
        <w:t>三、报名的基本条件</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报名学生必须符合下列全部条件。</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1.报名者应为在籍在册国家普通本科招生计划录取的本校应届本科毕业生（不含专升本学生、第二学士学位学生、独立学院学生、国家政策不予推免的学生）；</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2.具有高尚的爱国主义情操和集体主义精神，社会主义信念坚定，社会责任感强，遵纪守法，积极向上，身心健康；</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3.品行表现优良，无任何未解除的纪律处分；</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4.诚实守信，学风端正，无任何考试作弊和剽窃他人学术成果记录，未因学习成绩原因受到学籍处理；</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5.学习勤奋，成绩优秀，积极开展科学研究，学术研究兴趣浓厚，有较强的创新意识、创新能力和专业能力；</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6.按第四款第2条计算的课程加权平均成绩名列本年级本专业前10%（西华学院、高水平运动队的学生按其在西华学院、高水平运动队的年级排名前15%计）；</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7.除艺体类学生外的非外语专业学生通过了国家大学英语四级等级考试，外语专业学生通过国家外语专业四级等级考试；</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8.身体健康，达到大学生体质健康标准。</w:t>
      </w:r>
    </w:p>
    <w:p w:rsidR="0007463B" w:rsidRPr="0007463B" w:rsidRDefault="0007463B" w:rsidP="00141510">
      <w:pPr>
        <w:widowControl/>
        <w:spacing w:line="560" w:lineRule="exact"/>
        <w:ind w:firstLineChars="200" w:firstLine="640"/>
        <w:rPr>
          <w:rFonts w:ascii="黑体" w:eastAsia="黑体" w:hAnsi="黑体"/>
          <w:bCs/>
          <w:color w:val="000000" w:themeColor="text1"/>
          <w:kern w:val="0"/>
          <w:sz w:val="32"/>
          <w:szCs w:val="32"/>
        </w:rPr>
      </w:pPr>
      <w:r w:rsidRPr="0007463B">
        <w:rPr>
          <w:rFonts w:ascii="黑体" w:eastAsia="黑体" w:hAnsi="黑体" w:hint="eastAsia"/>
          <w:bCs/>
          <w:color w:val="000000" w:themeColor="text1"/>
          <w:kern w:val="0"/>
          <w:sz w:val="32"/>
          <w:szCs w:val="32"/>
        </w:rPr>
        <w:t>四、综合记分方法</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1.推免生的综合分A由课程加权平均成绩B和奖励分C组成</w:t>
      </w:r>
    </w:p>
    <w:p w:rsidR="0007463B" w:rsidRPr="0007463B" w:rsidRDefault="0007463B" w:rsidP="0007463B">
      <w:pPr>
        <w:widowControl/>
        <w:spacing w:line="315" w:lineRule="atLeast"/>
        <w:jc w:val="center"/>
        <w:rPr>
          <w:color w:val="000000" w:themeColor="text1"/>
          <w:kern w:val="0"/>
          <w:sz w:val="32"/>
          <w:szCs w:val="32"/>
        </w:rPr>
      </w:pPr>
      <w:r w:rsidRPr="0007463B">
        <w:rPr>
          <w:rFonts w:ascii="仿宋" w:eastAsia="仿宋" w:hAnsi="仿宋" w:hint="eastAsia"/>
          <w:color w:val="000000" w:themeColor="text1"/>
          <w:kern w:val="0"/>
          <w:sz w:val="32"/>
          <w:szCs w:val="32"/>
        </w:rPr>
        <w:t>A=B＋C</w:t>
      </w:r>
    </w:p>
    <w:p w:rsidR="0007463B" w:rsidRPr="0007463B" w:rsidRDefault="0007463B" w:rsidP="0007463B">
      <w:pPr>
        <w:widowControl/>
        <w:spacing w:line="315" w:lineRule="atLeas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2.课程加权平均成绩B</w:t>
      </w:r>
    </w:p>
    <w:p w:rsidR="0007463B" w:rsidRPr="00862DA4" w:rsidRDefault="0007463B" w:rsidP="00222AFA">
      <w:pPr>
        <w:widowControl/>
        <w:spacing w:line="315" w:lineRule="atLeast"/>
        <w:ind w:firstLine="4350"/>
        <w:rPr>
          <w:color w:val="000000" w:themeColor="text1"/>
          <w:kern w:val="0"/>
          <w:szCs w:val="21"/>
        </w:rPr>
      </w:pPr>
      <m:oMathPara>
        <m:oMath>
          <m:r>
            <m:rPr>
              <m:sty m:val="p"/>
            </m:rPr>
            <w:rPr>
              <w:rFonts w:ascii="Cambria Math" w:eastAsia="仿宋_GB2312" w:hAnsi="Cambria Math"/>
              <w:color w:val="000000" w:themeColor="text1"/>
              <w:sz w:val="28"/>
              <w:szCs w:val="32"/>
            </w:rPr>
            <m:t>B=</m:t>
          </m:r>
          <m:nary>
            <m:naryPr>
              <m:chr m:val="∑"/>
              <m:grow m:val="1"/>
              <m:ctrlPr>
                <w:rPr>
                  <w:rFonts w:ascii="Cambria Math" w:eastAsia="Cambria Math" w:hAnsi="Cambria Math"/>
                  <w:color w:val="000000" w:themeColor="text1"/>
                  <w:sz w:val="28"/>
                  <w:szCs w:val="32"/>
                </w:rPr>
              </m:ctrlPr>
            </m:naryPr>
            <m:sub>
              <m:r>
                <w:rPr>
                  <w:rFonts w:ascii="Cambria Math" w:eastAsia="仿宋_GB2312" w:hAnsi="Cambria Math"/>
                  <w:color w:val="000000" w:themeColor="text1"/>
                  <w:sz w:val="28"/>
                  <w:szCs w:val="32"/>
                </w:rPr>
                <m:t>i=1</m:t>
              </m:r>
            </m:sub>
            <m:sup>
              <m:r>
                <w:rPr>
                  <w:rFonts w:ascii="Cambria Math" w:eastAsia="仿宋_GB2312" w:hAnsi="Cambria Math"/>
                  <w:color w:val="000000" w:themeColor="text1"/>
                  <w:sz w:val="28"/>
                  <w:szCs w:val="32"/>
                </w:rPr>
                <m:t>n</m:t>
              </m:r>
            </m:sup>
            <m:e>
              <m:d>
                <m:dPr>
                  <m:ctrlPr>
                    <w:rPr>
                      <w:rFonts w:ascii="Cambria Math" w:eastAsia="Cambria Math" w:hAnsi="Cambria Math"/>
                      <w:color w:val="000000" w:themeColor="text1"/>
                      <w:sz w:val="28"/>
                      <w:szCs w:val="32"/>
                    </w:rPr>
                  </m:ctrlPr>
                </m:dPr>
                <m:e>
                  <m:sSub>
                    <m:sSubPr>
                      <m:ctrlPr>
                        <w:rPr>
                          <w:rFonts w:ascii="Cambria Math" w:eastAsia="Cambria Math" w:hAnsi="Cambria Math"/>
                          <w:i/>
                          <w:color w:val="000000" w:themeColor="text1"/>
                          <w:sz w:val="28"/>
                          <w:szCs w:val="32"/>
                        </w:rPr>
                      </m:ctrlPr>
                    </m:sSubPr>
                    <m:e>
                      <m:r>
                        <w:rPr>
                          <w:rFonts w:ascii="Cambria Math" w:eastAsia="Cambria Math" w:hAnsi="Cambria Math"/>
                          <w:color w:val="000000" w:themeColor="text1"/>
                          <w:sz w:val="28"/>
                          <w:szCs w:val="32"/>
                        </w:rPr>
                        <m:t>K</m:t>
                      </m:r>
                    </m:e>
                    <m:sub>
                      <m:r>
                        <w:rPr>
                          <w:rFonts w:ascii="Cambria Math" w:eastAsia="Cambria Math" w:hAnsi="Cambria Math"/>
                          <w:color w:val="000000" w:themeColor="text1"/>
                          <w:sz w:val="28"/>
                          <w:szCs w:val="32"/>
                        </w:rPr>
                        <m:t>i</m:t>
                      </m:r>
                    </m:sub>
                  </m:sSub>
                  <m:sSub>
                    <m:sSubPr>
                      <m:ctrlPr>
                        <w:rPr>
                          <w:rFonts w:ascii="Cambria Math" w:eastAsia="Cambria Math" w:hAnsi="Cambria Math"/>
                          <w:i/>
                          <w:color w:val="000000" w:themeColor="text1"/>
                          <w:sz w:val="28"/>
                          <w:szCs w:val="32"/>
                        </w:rPr>
                      </m:ctrlPr>
                    </m:sSubPr>
                    <m:e>
                      <m:r>
                        <w:rPr>
                          <w:rFonts w:ascii="Cambria Math" w:eastAsia="Cambria Math" w:hAnsi="Cambria Math"/>
                          <w:color w:val="000000" w:themeColor="text1"/>
                          <w:sz w:val="28"/>
                          <w:szCs w:val="32"/>
                        </w:rPr>
                        <m:t>S</m:t>
                      </m:r>
                    </m:e>
                    <m:sub>
                      <m:r>
                        <w:rPr>
                          <w:rFonts w:ascii="Cambria Math" w:eastAsia="Cambria Math" w:hAnsi="Cambria Math"/>
                          <w:color w:val="000000" w:themeColor="text1"/>
                          <w:sz w:val="28"/>
                          <w:szCs w:val="32"/>
                        </w:rPr>
                        <m:t>i</m:t>
                      </m:r>
                    </m:sub>
                  </m:sSub>
                  <m:sSub>
                    <m:sSubPr>
                      <m:ctrlPr>
                        <w:rPr>
                          <w:rFonts w:ascii="Cambria Math" w:eastAsia="Cambria Math" w:hAnsi="Cambria Math"/>
                          <w:i/>
                          <w:color w:val="000000" w:themeColor="text1"/>
                          <w:sz w:val="28"/>
                          <w:szCs w:val="32"/>
                        </w:rPr>
                      </m:ctrlPr>
                    </m:sSubPr>
                    <m:e>
                      <m:r>
                        <w:rPr>
                          <w:rFonts w:ascii="Cambria Math" w:eastAsia="Cambria Math" w:hAnsi="Cambria Math"/>
                          <w:color w:val="000000" w:themeColor="text1"/>
                          <w:sz w:val="28"/>
                          <w:szCs w:val="32"/>
                        </w:rPr>
                        <m:t>T</m:t>
                      </m:r>
                    </m:e>
                    <m:sub>
                      <m:r>
                        <w:rPr>
                          <w:rFonts w:ascii="Cambria Math" w:eastAsia="Cambria Math" w:hAnsi="Cambria Math"/>
                          <w:color w:val="000000" w:themeColor="text1"/>
                          <w:sz w:val="28"/>
                          <w:szCs w:val="32"/>
                        </w:rPr>
                        <m:t>i</m:t>
                      </m:r>
                    </m:sub>
                  </m:sSub>
                </m:e>
              </m:d>
            </m:e>
          </m:nary>
          <m:r>
            <m:rPr>
              <m:sty m:val="p"/>
            </m:rPr>
            <w:rPr>
              <w:rFonts w:ascii="Cambria Math" w:hAnsi="Cambria Math"/>
              <w:color w:val="000000" w:themeColor="text1"/>
              <w:sz w:val="28"/>
              <w:szCs w:val="32"/>
            </w:rPr>
            <m:t>/</m:t>
          </m:r>
          <m:nary>
            <m:naryPr>
              <m:chr m:val="∑"/>
              <m:grow m:val="1"/>
              <m:ctrlPr>
                <w:rPr>
                  <w:rFonts w:ascii="Cambria Math" w:eastAsia="Cambria Math" w:hAnsi="Cambria Math"/>
                  <w:color w:val="000000" w:themeColor="text1"/>
                  <w:sz w:val="28"/>
                  <w:szCs w:val="32"/>
                </w:rPr>
              </m:ctrlPr>
            </m:naryPr>
            <m:sub>
              <m:r>
                <w:rPr>
                  <w:rFonts w:ascii="Cambria Math" w:eastAsia="仿宋_GB2312" w:hAnsi="Cambria Math"/>
                  <w:color w:val="000000" w:themeColor="text1"/>
                  <w:sz w:val="28"/>
                  <w:szCs w:val="32"/>
                </w:rPr>
                <m:t>i=1</m:t>
              </m:r>
            </m:sub>
            <m:sup>
              <m:r>
                <w:rPr>
                  <w:rFonts w:ascii="Cambria Math" w:eastAsia="仿宋_GB2312" w:hAnsi="Cambria Math"/>
                  <w:color w:val="000000" w:themeColor="text1"/>
                  <w:sz w:val="28"/>
                  <w:szCs w:val="32"/>
                </w:rPr>
                <m:t>n</m:t>
              </m:r>
            </m:sup>
            <m:e>
              <m:sSub>
                <m:sSubPr>
                  <m:ctrlPr>
                    <w:rPr>
                      <w:rFonts w:ascii="Cambria Math" w:eastAsia="Cambria Math" w:hAnsi="Cambria Math"/>
                      <w:i/>
                      <w:color w:val="000000" w:themeColor="text1"/>
                      <w:sz w:val="28"/>
                      <w:szCs w:val="32"/>
                    </w:rPr>
                  </m:ctrlPr>
                </m:sSubPr>
                <m:e>
                  <m:r>
                    <w:rPr>
                      <w:rFonts w:ascii="Cambria Math" w:eastAsia="Cambria Math" w:hAnsi="Cambria Math"/>
                      <w:color w:val="000000" w:themeColor="text1"/>
                      <w:sz w:val="28"/>
                      <w:szCs w:val="32"/>
                    </w:rPr>
                    <m:t>T</m:t>
                  </m:r>
                </m:e>
                <m:sub>
                  <m:r>
                    <w:rPr>
                      <w:rFonts w:ascii="Cambria Math" w:eastAsia="Cambria Math" w:hAnsi="Cambria Math"/>
                      <w:color w:val="000000" w:themeColor="text1"/>
                      <w:sz w:val="28"/>
                      <w:szCs w:val="32"/>
                    </w:rPr>
                    <m:t>i</m:t>
                  </m:r>
                </m:sub>
              </m:sSub>
            </m:e>
          </m:nary>
        </m:oMath>
      </m:oMathPara>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其中：</w:t>
      </w:r>
      <w:r w:rsidRPr="0007463B">
        <w:rPr>
          <w:color w:val="000000" w:themeColor="text1"/>
          <w:kern w:val="0"/>
          <w:sz w:val="32"/>
          <w:szCs w:val="32"/>
        </w:rPr>
        <w:t xml:space="preserve"> </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课程计算范围：以主修专业所制定的人才培养方案为准,同时应修完推免时间点以前该专业培养方案中的全部要求课程。</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S</w:t>
      </w:r>
      <w:r w:rsidRPr="0007463B">
        <w:rPr>
          <w:rFonts w:ascii="仿宋" w:eastAsia="仿宋" w:hAnsi="仿宋" w:hint="eastAsia"/>
          <w:color w:val="000000" w:themeColor="text1"/>
          <w:kern w:val="0"/>
          <w:sz w:val="32"/>
          <w:szCs w:val="32"/>
          <w:vertAlign w:val="subscript"/>
        </w:rPr>
        <w:t>i</w:t>
      </w:r>
      <w:r w:rsidRPr="0007463B">
        <w:rPr>
          <w:rFonts w:ascii="仿宋" w:eastAsia="仿宋" w:hAnsi="仿宋" w:hint="eastAsia"/>
          <w:color w:val="000000" w:themeColor="text1"/>
          <w:kern w:val="0"/>
          <w:sz w:val="32"/>
          <w:szCs w:val="32"/>
        </w:rPr>
        <w:t>和T</w:t>
      </w:r>
      <w:r w:rsidRPr="0007463B">
        <w:rPr>
          <w:rFonts w:ascii="仿宋" w:eastAsia="仿宋" w:hAnsi="仿宋" w:hint="eastAsia"/>
          <w:color w:val="000000" w:themeColor="text1"/>
          <w:kern w:val="0"/>
          <w:sz w:val="32"/>
          <w:szCs w:val="32"/>
          <w:vertAlign w:val="subscript"/>
        </w:rPr>
        <w:t>i</w:t>
      </w:r>
      <w:r w:rsidRPr="0007463B">
        <w:rPr>
          <w:rFonts w:ascii="仿宋" w:eastAsia="仿宋" w:hAnsi="仿宋" w:hint="eastAsia"/>
          <w:color w:val="000000" w:themeColor="text1"/>
          <w:kern w:val="0"/>
          <w:sz w:val="32"/>
          <w:szCs w:val="32"/>
        </w:rPr>
        <w:t>依次是应修的第i门课程的课程系数和学分，本专业必须修读课程的课程系数为1，其它课程的课程系数为0.8</w:t>
      </w:r>
      <w:r w:rsidR="004B4ED3">
        <w:rPr>
          <w:rFonts w:ascii="仿宋" w:eastAsia="仿宋" w:hAnsi="仿宋" w:hint="eastAsia"/>
          <w:color w:val="000000" w:themeColor="text1"/>
          <w:kern w:val="0"/>
          <w:sz w:val="32"/>
          <w:szCs w:val="32"/>
        </w:rPr>
        <w:t>。</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K</w:t>
      </w:r>
      <w:r w:rsidRPr="0007463B">
        <w:rPr>
          <w:rFonts w:ascii="仿宋" w:eastAsia="仿宋" w:hAnsi="仿宋" w:hint="eastAsia"/>
          <w:color w:val="000000" w:themeColor="text1"/>
          <w:kern w:val="0"/>
          <w:sz w:val="32"/>
          <w:szCs w:val="32"/>
          <w:vertAlign w:val="subscript"/>
        </w:rPr>
        <w:t>i</w:t>
      </w:r>
      <w:r w:rsidRPr="0007463B">
        <w:rPr>
          <w:rFonts w:ascii="仿宋" w:eastAsia="仿宋" w:hAnsi="仿宋" w:hint="eastAsia"/>
          <w:color w:val="000000" w:themeColor="text1"/>
          <w:kern w:val="0"/>
          <w:sz w:val="32"/>
          <w:szCs w:val="32"/>
        </w:rPr>
        <w:t>—应修的第i门课程的第一次正考成绩（若课程成绩是分等级记分的，则作如下对应处理：优记90分，良记80分，中记70分，合格记60分，不合格记50分）</w:t>
      </w:r>
      <w:r w:rsidR="004B4ED3">
        <w:rPr>
          <w:rFonts w:ascii="仿宋" w:eastAsia="仿宋" w:hAnsi="仿宋" w:hint="eastAsia"/>
          <w:color w:val="000000" w:themeColor="text1"/>
          <w:kern w:val="0"/>
          <w:sz w:val="32"/>
          <w:szCs w:val="32"/>
        </w:rPr>
        <w:t>。</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n—应修课程门数[必须包含本专业教学计划中规定的全部应修课程]。</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3.奖励分C</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奖励分的记分方法如下</w:t>
      </w:r>
      <w:r w:rsidR="004B4ED3">
        <w:rPr>
          <w:rFonts w:ascii="仿宋" w:eastAsia="仿宋" w:hAnsi="仿宋" w:hint="eastAsia"/>
          <w:color w:val="000000" w:themeColor="text1"/>
          <w:kern w:val="0"/>
          <w:sz w:val="32"/>
          <w:szCs w:val="32"/>
        </w:rPr>
        <w:t>。</w:t>
      </w:r>
    </w:p>
    <w:p w:rsidR="0007463B" w:rsidRPr="0007463B" w:rsidRDefault="0007463B" w:rsidP="00141510">
      <w:pPr>
        <w:widowControl/>
        <w:spacing w:afterLines="100" w:after="312"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3.1在读期间参加竞赛和大学生艺术节获奖，竞赛</w:t>
      </w:r>
      <w:r w:rsidRPr="0007463B">
        <w:rPr>
          <w:rFonts w:ascii="仿宋" w:eastAsia="仿宋" w:hAnsi="仿宋"/>
          <w:color w:val="000000" w:themeColor="text1"/>
          <w:kern w:val="0"/>
          <w:sz w:val="32"/>
          <w:szCs w:val="32"/>
        </w:rPr>
        <w:t>以获奖当年最新公布的</w:t>
      </w:r>
      <w:r w:rsidRPr="0007463B">
        <w:rPr>
          <w:rFonts w:ascii="仿宋" w:eastAsia="仿宋" w:hAnsi="仿宋" w:hint="eastAsia"/>
          <w:color w:val="000000" w:themeColor="text1"/>
          <w:kern w:val="0"/>
          <w:sz w:val="32"/>
          <w:szCs w:val="32"/>
        </w:rPr>
        <w:t>“中国高校创新人才培养暨学科竞赛评估的竞赛项目”和“四川省教育厅公布的大学生竞赛项目名单”所罗列的项目认定奖励分，集体项目最多计前三名。</w:t>
      </w:r>
    </w:p>
    <w:tbl>
      <w:tblPr>
        <w:tblW w:w="0" w:type="auto"/>
        <w:jc w:val="center"/>
        <w:tblCellMar>
          <w:left w:w="0" w:type="dxa"/>
          <w:right w:w="0" w:type="dxa"/>
        </w:tblCellMar>
        <w:tblLook w:val="04A0" w:firstRow="1" w:lastRow="0" w:firstColumn="1" w:lastColumn="0" w:noHBand="0" w:noVBand="1"/>
      </w:tblPr>
      <w:tblGrid>
        <w:gridCol w:w="1169"/>
        <w:gridCol w:w="1080"/>
        <w:gridCol w:w="1080"/>
        <w:gridCol w:w="1080"/>
        <w:gridCol w:w="1360"/>
        <w:gridCol w:w="1212"/>
        <w:gridCol w:w="1388"/>
      </w:tblGrid>
      <w:tr w:rsidR="0007463B" w:rsidRPr="004B196F" w:rsidTr="00222AFA">
        <w:trPr>
          <w:trHeight w:val="325"/>
          <w:jc w:val="center"/>
        </w:trPr>
        <w:tc>
          <w:tcPr>
            <w:tcW w:w="116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级别</w:t>
            </w:r>
          </w:p>
        </w:tc>
        <w:tc>
          <w:tcPr>
            <w:tcW w:w="3240"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国家级</w:t>
            </w:r>
          </w:p>
        </w:tc>
        <w:tc>
          <w:tcPr>
            <w:tcW w:w="3960"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省部级</w:t>
            </w:r>
          </w:p>
        </w:tc>
      </w:tr>
      <w:tr w:rsidR="0007463B" w:rsidRPr="004B196F" w:rsidTr="00222AFA">
        <w:trPr>
          <w:trHeight w:val="477"/>
          <w:jc w:val="center"/>
        </w:trPr>
        <w:tc>
          <w:tcPr>
            <w:tcW w:w="116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成绩</w:t>
            </w:r>
          </w:p>
        </w:tc>
        <w:tc>
          <w:tcPr>
            <w:tcW w:w="108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一等奖</w:t>
            </w:r>
          </w:p>
        </w:tc>
        <w:tc>
          <w:tcPr>
            <w:tcW w:w="108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二等奖</w:t>
            </w:r>
          </w:p>
        </w:tc>
        <w:tc>
          <w:tcPr>
            <w:tcW w:w="108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三等奖</w:t>
            </w:r>
          </w:p>
        </w:tc>
        <w:tc>
          <w:tcPr>
            <w:tcW w:w="136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一等奖</w:t>
            </w:r>
          </w:p>
        </w:tc>
        <w:tc>
          <w:tcPr>
            <w:tcW w:w="121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二等奖</w:t>
            </w:r>
          </w:p>
        </w:tc>
        <w:tc>
          <w:tcPr>
            <w:tcW w:w="13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三等奖</w:t>
            </w:r>
          </w:p>
        </w:tc>
      </w:tr>
      <w:tr w:rsidR="0007463B" w:rsidRPr="004B196F" w:rsidTr="00222AFA">
        <w:trPr>
          <w:trHeight w:val="300"/>
          <w:jc w:val="center"/>
        </w:trPr>
        <w:tc>
          <w:tcPr>
            <w:tcW w:w="116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奖励分</w:t>
            </w:r>
          </w:p>
        </w:tc>
        <w:tc>
          <w:tcPr>
            <w:tcW w:w="108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4</w:t>
            </w:r>
          </w:p>
        </w:tc>
        <w:tc>
          <w:tcPr>
            <w:tcW w:w="108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3</w:t>
            </w:r>
          </w:p>
        </w:tc>
        <w:tc>
          <w:tcPr>
            <w:tcW w:w="108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2</w:t>
            </w:r>
          </w:p>
        </w:tc>
        <w:tc>
          <w:tcPr>
            <w:tcW w:w="136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2</w:t>
            </w:r>
          </w:p>
        </w:tc>
        <w:tc>
          <w:tcPr>
            <w:tcW w:w="121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1</w:t>
            </w:r>
          </w:p>
        </w:tc>
        <w:tc>
          <w:tcPr>
            <w:tcW w:w="138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0.5</w:t>
            </w:r>
          </w:p>
        </w:tc>
      </w:tr>
    </w:tbl>
    <w:p w:rsidR="0007463B" w:rsidRPr="0007463B" w:rsidRDefault="0007463B" w:rsidP="0007463B">
      <w:pPr>
        <w:widowControl/>
        <w:spacing w:beforeLines="50" w:before="156" w:afterLines="50" w:after="156" w:line="62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3.2在读期间发表本专业领域的学术论文</w:t>
      </w:r>
    </w:p>
    <w:tbl>
      <w:tblPr>
        <w:tblW w:w="0" w:type="auto"/>
        <w:jc w:val="center"/>
        <w:tblCellMar>
          <w:left w:w="0" w:type="dxa"/>
          <w:right w:w="0" w:type="dxa"/>
        </w:tblCellMar>
        <w:tblLook w:val="04A0" w:firstRow="1" w:lastRow="0" w:firstColumn="1" w:lastColumn="0" w:noHBand="0" w:noVBand="1"/>
      </w:tblPr>
      <w:tblGrid>
        <w:gridCol w:w="1534"/>
        <w:gridCol w:w="941"/>
        <w:gridCol w:w="882"/>
        <w:gridCol w:w="1317"/>
        <w:gridCol w:w="1445"/>
        <w:gridCol w:w="1054"/>
        <w:gridCol w:w="1166"/>
      </w:tblGrid>
      <w:tr w:rsidR="0007463B" w:rsidRPr="004B196F" w:rsidTr="00224904">
        <w:trPr>
          <w:trHeight w:val="742"/>
          <w:jc w:val="center"/>
        </w:trPr>
        <w:tc>
          <w:tcPr>
            <w:tcW w:w="153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141510">
            <w:pPr>
              <w:widowControl/>
              <w:spacing w:line="500" w:lineRule="exact"/>
              <w:jc w:val="center"/>
              <w:rPr>
                <w:color w:val="000000" w:themeColor="text1"/>
                <w:kern w:val="0"/>
                <w:szCs w:val="21"/>
              </w:rPr>
            </w:pPr>
            <w:r w:rsidRPr="004B196F">
              <w:rPr>
                <w:rFonts w:ascii="仿宋" w:eastAsia="仿宋" w:hAnsi="仿宋" w:hint="eastAsia"/>
                <w:color w:val="000000" w:themeColor="text1"/>
                <w:kern w:val="0"/>
                <w:sz w:val="30"/>
                <w:szCs w:val="30"/>
              </w:rPr>
              <w:t>类别</w:t>
            </w:r>
          </w:p>
        </w:tc>
        <w:tc>
          <w:tcPr>
            <w:tcW w:w="1823"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141510">
            <w:pPr>
              <w:widowControl/>
              <w:spacing w:line="500" w:lineRule="exact"/>
              <w:jc w:val="center"/>
              <w:rPr>
                <w:color w:val="000000" w:themeColor="text1"/>
                <w:kern w:val="0"/>
                <w:szCs w:val="21"/>
              </w:rPr>
            </w:pPr>
            <w:r w:rsidRPr="004B196F">
              <w:rPr>
                <w:rFonts w:ascii="仿宋" w:eastAsia="仿宋" w:hAnsi="仿宋" w:hint="eastAsia"/>
                <w:color w:val="000000" w:themeColor="text1"/>
                <w:kern w:val="0"/>
                <w:sz w:val="30"/>
                <w:szCs w:val="30"/>
              </w:rPr>
              <w:t>SCI/SSCI</w:t>
            </w:r>
          </w:p>
        </w:tc>
        <w:tc>
          <w:tcPr>
            <w:tcW w:w="2761"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141510">
            <w:pPr>
              <w:widowControl/>
              <w:spacing w:line="500" w:lineRule="exact"/>
              <w:jc w:val="center"/>
              <w:rPr>
                <w:color w:val="000000" w:themeColor="text1"/>
                <w:kern w:val="0"/>
                <w:szCs w:val="21"/>
              </w:rPr>
            </w:pPr>
            <w:r w:rsidRPr="004B196F">
              <w:rPr>
                <w:rFonts w:ascii="仿宋" w:eastAsia="仿宋" w:hAnsi="仿宋" w:hint="eastAsia"/>
                <w:color w:val="000000" w:themeColor="text1"/>
                <w:kern w:val="0"/>
                <w:sz w:val="30"/>
                <w:szCs w:val="30"/>
              </w:rPr>
              <w:t>EI/CSSCI/CSCD/新华文摘/人大复印资料</w:t>
            </w:r>
          </w:p>
        </w:tc>
        <w:tc>
          <w:tcPr>
            <w:tcW w:w="2220"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141510">
            <w:pPr>
              <w:widowControl/>
              <w:spacing w:line="500" w:lineRule="exact"/>
              <w:jc w:val="center"/>
              <w:rPr>
                <w:color w:val="000000" w:themeColor="text1"/>
                <w:kern w:val="0"/>
                <w:szCs w:val="21"/>
              </w:rPr>
            </w:pPr>
            <w:r w:rsidRPr="004B196F">
              <w:rPr>
                <w:rFonts w:ascii="仿宋" w:eastAsia="仿宋" w:hAnsi="仿宋" w:hint="eastAsia"/>
                <w:color w:val="000000" w:themeColor="text1"/>
                <w:kern w:val="0"/>
                <w:sz w:val="30"/>
                <w:szCs w:val="30"/>
              </w:rPr>
              <w:t>北大版上当年所列出的中文核心期刊</w:t>
            </w:r>
          </w:p>
        </w:tc>
      </w:tr>
      <w:tr w:rsidR="0007463B" w:rsidRPr="004B196F" w:rsidTr="00224904">
        <w:trPr>
          <w:trHeight w:val="294"/>
          <w:jc w:val="center"/>
        </w:trPr>
        <w:tc>
          <w:tcPr>
            <w:tcW w:w="15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排名</w:t>
            </w:r>
          </w:p>
        </w:tc>
        <w:tc>
          <w:tcPr>
            <w:tcW w:w="9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第1</w:t>
            </w:r>
          </w:p>
        </w:tc>
        <w:tc>
          <w:tcPr>
            <w:tcW w:w="88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第2</w:t>
            </w:r>
          </w:p>
        </w:tc>
        <w:tc>
          <w:tcPr>
            <w:tcW w:w="131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第1</w:t>
            </w:r>
          </w:p>
        </w:tc>
        <w:tc>
          <w:tcPr>
            <w:tcW w:w="14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第2</w:t>
            </w:r>
          </w:p>
        </w:tc>
        <w:tc>
          <w:tcPr>
            <w:tcW w:w="10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第1</w:t>
            </w:r>
          </w:p>
        </w:tc>
        <w:tc>
          <w:tcPr>
            <w:tcW w:w="116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第2</w:t>
            </w:r>
          </w:p>
        </w:tc>
      </w:tr>
      <w:tr w:rsidR="0007463B" w:rsidRPr="004B196F" w:rsidTr="00224904">
        <w:trPr>
          <w:trHeight w:val="274"/>
          <w:jc w:val="center"/>
        </w:trPr>
        <w:tc>
          <w:tcPr>
            <w:tcW w:w="15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奖励分</w:t>
            </w:r>
          </w:p>
        </w:tc>
        <w:tc>
          <w:tcPr>
            <w:tcW w:w="94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4</w:t>
            </w:r>
          </w:p>
        </w:tc>
        <w:tc>
          <w:tcPr>
            <w:tcW w:w="88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3</w:t>
            </w:r>
          </w:p>
        </w:tc>
        <w:tc>
          <w:tcPr>
            <w:tcW w:w="131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3</w:t>
            </w:r>
          </w:p>
        </w:tc>
        <w:tc>
          <w:tcPr>
            <w:tcW w:w="144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2</w:t>
            </w:r>
          </w:p>
        </w:tc>
        <w:tc>
          <w:tcPr>
            <w:tcW w:w="10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2</w:t>
            </w:r>
          </w:p>
        </w:tc>
        <w:tc>
          <w:tcPr>
            <w:tcW w:w="116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1</w:t>
            </w:r>
          </w:p>
        </w:tc>
      </w:tr>
    </w:tbl>
    <w:p w:rsidR="0007463B" w:rsidRPr="0007463B" w:rsidRDefault="0007463B" w:rsidP="00141510">
      <w:pPr>
        <w:widowControl/>
        <w:spacing w:beforeLines="100" w:before="312"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北大版上当年所列出的中文核心期刊指北京大学《中文核心期刊要目总览》来源期刊正刊或中国科学引文数据库（CSCD）核心期刊正刊。仅认定论文发表当年列入当期上述类别目录的期刊。</w:t>
      </w:r>
    </w:p>
    <w:p w:rsidR="0007463B" w:rsidRPr="0007463B" w:rsidRDefault="0007463B" w:rsidP="00141510">
      <w:pPr>
        <w:widowControl/>
        <w:spacing w:afterLines="50" w:after="156"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3.3在读期间获得专利授权</w:t>
      </w:r>
    </w:p>
    <w:tbl>
      <w:tblPr>
        <w:tblW w:w="0" w:type="auto"/>
        <w:jc w:val="center"/>
        <w:tblCellMar>
          <w:left w:w="0" w:type="dxa"/>
          <w:right w:w="0" w:type="dxa"/>
        </w:tblCellMar>
        <w:tblLook w:val="04A0" w:firstRow="1" w:lastRow="0" w:firstColumn="1" w:lastColumn="0" w:noHBand="0" w:noVBand="1"/>
      </w:tblPr>
      <w:tblGrid>
        <w:gridCol w:w="2268"/>
        <w:gridCol w:w="1418"/>
        <w:gridCol w:w="1417"/>
      </w:tblGrid>
      <w:tr w:rsidR="0007463B" w:rsidRPr="004B196F" w:rsidTr="00222AFA">
        <w:trPr>
          <w:trHeight w:val="331"/>
          <w:jc w:val="center"/>
        </w:trPr>
        <w:tc>
          <w:tcPr>
            <w:tcW w:w="226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类别</w:t>
            </w:r>
          </w:p>
        </w:tc>
        <w:tc>
          <w:tcPr>
            <w:tcW w:w="2835"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发明专利</w:t>
            </w:r>
          </w:p>
        </w:tc>
      </w:tr>
      <w:tr w:rsidR="0007463B" w:rsidRPr="004B196F" w:rsidTr="00222AFA">
        <w:trPr>
          <w:trHeight w:val="456"/>
          <w:jc w:val="center"/>
        </w:trPr>
        <w:tc>
          <w:tcPr>
            <w:tcW w:w="226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排名</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第1</w:t>
            </w: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第2</w:t>
            </w:r>
          </w:p>
        </w:tc>
      </w:tr>
      <w:tr w:rsidR="0007463B" w:rsidRPr="004B196F" w:rsidTr="00222AFA">
        <w:trPr>
          <w:trHeight w:val="308"/>
          <w:jc w:val="center"/>
        </w:trPr>
        <w:tc>
          <w:tcPr>
            <w:tcW w:w="226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奖励分</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4</w:t>
            </w: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2</w:t>
            </w:r>
          </w:p>
        </w:tc>
      </w:tr>
    </w:tbl>
    <w:p w:rsidR="0007463B" w:rsidRPr="0007463B" w:rsidRDefault="0007463B" w:rsidP="00141510">
      <w:pPr>
        <w:widowControl/>
        <w:spacing w:beforeLines="100" w:before="312" w:afterLines="50" w:after="156"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3.4在读期间从事科研和创新实践活动，集体成果奖励最多计前三名。</w:t>
      </w:r>
    </w:p>
    <w:tbl>
      <w:tblPr>
        <w:tblW w:w="0" w:type="auto"/>
        <w:jc w:val="center"/>
        <w:tblCellMar>
          <w:left w:w="0" w:type="dxa"/>
          <w:right w:w="0" w:type="dxa"/>
        </w:tblCellMar>
        <w:tblLook w:val="04A0" w:firstRow="1" w:lastRow="0" w:firstColumn="1" w:lastColumn="0" w:noHBand="0" w:noVBand="1"/>
      </w:tblPr>
      <w:tblGrid>
        <w:gridCol w:w="1116"/>
        <w:gridCol w:w="1088"/>
        <w:gridCol w:w="1088"/>
        <w:gridCol w:w="1088"/>
        <w:gridCol w:w="1088"/>
        <w:gridCol w:w="1094"/>
        <w:gridCol w:w="945"/>
        <w:gridCol w:w="625"/>
        <w:gridCol w:w="707"/>
      </w:tblGrid>
      <w:tr w:rsidR="0007463B" w:rsidRPr="004B196F" w:rsidTr="0007463B">
        <w:trPr>
          <w:trHeight w:val="741"/>
          <w:jc w:val="center"/>
        </w:trPr>
        <w:tc>
          <w:tcPr>
            <w:tcW w:w="111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类别</w:t>
            </w:r>
          </w:p>
        </w:tc>
        <w:tc>
          <w:tcPr>
            <w:tcW w:w="3264"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141510">
            <w:pPr>
              <w:widowControl/>
              <w:spacing w:line="500" w:lineRule="exact"/>
              <w:jc w:val="center"/>
              <w:rPr>
                <w:rFonts w:ascii="仿宋" w:eastAsia="仿宋" w:hAnsi="仿宋"/>
                <w:color w:val="000000" w:themeColor="text1"/>
                <w:kern w:val="0"/>
                <w:sz w:val="30"/>
                <w:szCs w:val="30"/>
              </w:rPr>
            </w:pPr>
            <w:r w:rsidRPr="004B196F">
              <w:rPr>
                <w:rFonts w:ascii="仿宋" w:eastAsia="仿宋" w:hAnsi="仿宋" w:hint="eastAsia"/>
                <w:color w:val="000000" w:themeColor="text1"/>
                <w:kern w:val="0"/>
                <w:sz w:val="30"/>
                <w:szCs w:val="30"/>
              </w:rPr>
              <w:t>省部级以上</w:t>
            </w:r>
          </w:p>
          <w:p w:rsidR="0007463B" w:rsidRPr="004B196F" w:rsidRDefault="0007463B" w:rsidP="00141510">
            <w:pPr>
              <w:widowControl/>
              <w:spacing w:line="500" w:lineRule="exact"/>
              <w:jc w:val="center"/>
              <w:rPr>
                <w:color w:val="000000" w:themeColor="text1"/>
                <w:kern w:val="0"/>
                <w:szCs w:val="21"/>
              </w:rPr>
            </w:pPr>
            <w:r w:rsidRPr="004B196F">
              <w:rPr>
                <w:rFonts w:ascii="仿宋" w:eastAsia="仿宋" w:hAnsi="仿宋" w:hint="eastAsia"/>
                <w:color w:val="000000" w:themeColor="text1"/>
                <w:kern w:val="0"/>
                <w:sz w:val="30"/>
                <w:szCs w:val="30"/>
              </w:rPr>
              <w:t>政府科研成果奖励</w:t>
            </w:r>
          </w:p>
        </w:tc>
        <w:tc>
          <w:tcPr>
            <w:tcW w:w="3127"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141510">
            <w:pPr>
              <w:widowControl/>
              <w:spacing w:line="500" w:lineRule="exact"/>
              <w:jc w:val="center"/>
              <w:rPr>
                <w:rFonts w:ascii="仿宋" w:eastAsia="仿宋" w:hAnsi="仿宋"/>
                <w:color w:val="000000" w:themeColor="text1"/>
                <w:kern w:val="0"/>
                <w:sz w:val="30"/>
                <w:szCs w:val="30"/>
              </w:rPr>
            </w:pPr>
            <w:r w:rsidRPr="004B196F">
              <w:rPr>
                <w:rFonts w:ascii="仿宋" w:eastAsia="仿宋" w:hAnsi="仿宋" w:hint="eastAsia"/>
                <w:color w:val="000000" w:themeColor="text1"/>
                <w:kern w:val="0"/>
                <w:sz w:val="30"/>
                <w:szCs w:val="30"/>
              </w:rPr>
              <w:t>市厅级政府</w:t>
            </w:r>
          </w:p>
          <w:p w:rsidR="0007463B" w:rsidRPr="004B196F" w:rsidRDefault="0007463B" w:rsidP="00141510">
            <w:pPr>
              <w:widowControl/>
              <w:spacing w:line="500" w:lineRule="exact"/>
              <w:jc w:val="center"/>
              <w:rPr>
                <w:color w:val="000000" w:themeColor="text1"/>
                <w:kern w:val="0"/>
                <w:szCs w:val="21"/>
              </w:rPr>
            </w:pPr>
            <w:r w:rsidRPr="004B196F">
              <w:rPr>
                <w:rFonts w:ascii="仿宋" w:eastAsia="仿宋" w:hAnsi="仿宋" w:hint="eastAsia"/>
                <w:color w:val="000000" w:themeColor="text1"/>
                <w:kern w:val="0"/>
                <w:sz w:val="30"/>
                <w:szCs w:val="30"/>
              </w:rPr>
              <w:t>科研成果奖励</w:t>
            </w:r>
          </w:p>
        </w:tc>
        <w:tc>
          <w:tcPr>
            <w:tcW w:w="1332"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141510">
            <w:pPr>
              <w:widowControl/>
              <w:spacing w:line="500" w:lineRule="exact"/>
              <w:jc w:val="center"/>
              <w:rPr>
                <w:color w:val="000000" w:themeColor="text1"/>
                <w:kern w:val="0"/>
                <w:szCs w:val="21"/>
              </w:rPr>
            </w:pPr>
            <w:r w:rsidRPr="004B196F">
              <w:rPr>
                <w:rFonts w:ascii="仿宋" w:eastAsia="仿宋" w:hAnsi="仿宋" w:hint="eastAsia"/>
                <w:color w:val="000000" w:themeColor="text1"/>
                <w:kern w:val="0"/>
                <w:sz w:val="30"/>
                <w:szCs w:val="30"/>
              </w:rPr>
              <w:t>获西华杯登峰计划结题证书</w:t>
            </w:r>
          </w:p>
        </w:tc>
      </w:tr>
      <w:tr w:rsidR="0007463B" w:rsidRPr="004B196F" w:rsidTr="0007463B">
        <w:trPr>
          <w:trHeight w:val="741"/>
          <w:jc w:val="center"/>
        </w:trPr>
        <w:tc>
          <w:tcPr>
            <w:tcW w:w="111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7463B" w:rsidRPr="004B196F" w:rsidRDefault="0007463B" w:rsidP="00222AFA">
            <w:pPr>
              <w:widowControl/>
              <w:spacing w:line="315" w:lineRule="atLeast"/>
              <w:jc w:val="center"/>
              <w:rPr>
                <w:rFonts w:ascii="仿宋" w:eastAsia="仿宋" w:hAnsi="仿宋"/>
                <w:color w:val="000000" w:themeColor="text1"/>
                <w:kern w:val="0"/>
                <w:sz w:val="30"/>
                <w:szCs w:val="30"/>
              </w:rPr>
            </w:pPr>
            <w:r w:rsidRPr="004B196F">
              <w:rPr>
                <w:rFonts w:ascii="仿宋" w:eastAsia="仿宋" w:hAnsi="仿宋" w:hint="eastAsia"/>
                <w:color w:val="000000" w:themeColor="text1"/>
                <w:kern w:val="0"/>
                <w:sz w:val="30"/>
                <w:szCs w:val="30"/>
              </w:rPr>
              <w:t>成绩</w:t>
            </w:r>
          </w:p>
        </w:tc>
        <w:tc>
          <w:tcPr>
            <w:tcW w:w="10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07463B" w:rsidRPr="004B196F" w:rsidRDefault="0007463B" w:rsidP="00222AFA">
            <w:pPr>
              <w:widowControl/>
              <w:jc w:val="center"/>
              <w:rPr>
                <w:rFonts w:ascii="仿宋" w:eastAsia="仿宋" w:hAnsi="仿宋"/>
                <w:color w:val="000000" w:themeColor="text1"/>
                <w:kern w:val="0"/>
                <w:sz w:val="30"/>
                <w:szCs w:val="30"/>
              </w:rPr>
            </w:pPr>
            <w:r w:rsidRPr="004B196F">
              <w:rPr>
                <w:rFonts w:ascii="仿宋" w:eastAsia="仿宋" w:hAnsi="仿宋" w:hint="eastAsia"/>
                <w:color w:val="000000" w:themeColor="text1"/>
                <w:kern w:val="0"/>
                <w:sz w:val="30"/>
                <w:szCs w:val="30"/>
              </w:rPr>
              <w:t>一等奖</w:t>
            </w:r>
          </w:p>
        </w:tc>
        <w:tc>
          <w:tcPr>
            <w:tcW w:w="1088" w:type="dxa"/>
            <w:tcBorders>
              <w:top w:val="single" w:sz="8" w:space="0" w:color="auto"/>
              <w:left w:val="nil"/>
              <w:bottom w:val="single" w:sz="8" w:space="0" w:color="auto"/>
              <w:right w:val="single" w:sz="8" w:space="0" w:color="auto"/>
            </w:tcBorders>
            <w:vAlign w:val="center"/>
          </w:tcPr>
          <w:p w:rsidR="0007463B" w:rsidRPr="004B196F" w:rsidRDefault="0007463B" w:rsidP="00222AFA">
            <w:pPr>
              <w:widowControl/>
              <w:jc w:val="center"/>
              <w:rPr>
                <w:rFonts w:ascii="仿宋" w:eastAsia="仿宋" w:hAnsi="仿宋"/>
                <w:color w:val="000000" w:themeColor="text1"/>
                <w:kern w:val="0"/>
                <w:sz w:val="30"/>
                <w:szCs w:val="30"/>
              </w:rPr>
            </w:pPr>
            <w:r w:rsidRPr="004B196F">
              <w:rPr>
                <w:rFonts w:ascii="仿宋" w:eastAsia="仿宋" w:hAnsi="仿宋" w:hint="eastAsia"/>
                <w:color w:val="000000" w:themeColor="text1"/>
                <w:kern w:val="0"/>
                <w:sz w:val="30"/>
                <w:szCs w:val="30"/>
              </w:rPr>
              <w:t>二等奖</w:t>
            </w:r>
          </w:p>
        </w:tc>
        <w:tc>
          <w:tcPr>
            <w:tcW w:w="1088" w:type="dxa"/>
            <w:tcBorders>
              <w:top w:val="single" w:sz="8" w:space="0" w:color="auto"/>
              <w:left w:val="nil"/>
              <w:bottom w:val="single" w:sz="8" w:space="0" w:color="auto"/>
              <w:right w:val="single" w:sz="8" w:space="0" w:color="auto"/>
            </w:tcBorders>
            <w:vAlign w:val="center"/>
          </w:tcPr>
          <w:p w:rsidR="0007463B" w:rsidRPr="004B196F" w:rsidRDefault="0007463B" w:rsidP="00222AFA">
            <w:pPr>
              <w:widowControl/>
              <w:jc w:val="center"/>
              <w:rPr>
                <w:rFonts w:ascii="仿宋" w:eastAsia="仿宋" w:hAnsi="仿宋"/>
                <w:color w:val="000000" w:themeColor="text1"/>
                <w:kern w:val="0"/>
                <w:sz w:val="30"/>
                <w:szCs w:val="30"/>
              </w:rPr>
            </w:pPr>
            <w:r w:rsidRPr="004B196F">
              <w:rPr>
                <w:rFonts w:ascii="仿宋" w:eastAsia="仿宋" w:hAnsi="仿宋" w:hint="eastAsia"/>
                <w:color w:val="000000" w:themeColor="text1"/>
                <w:kern w:val="0"/>
                <w:sz w:val="30"/>
                <w:szCs w:val="30"/>
              </w:rPr>
              <w:t>三等奖</w:t>
            </w:r>
          </w:p>
        </w:tc>
        <w:tc>
          <w:tcPr>
            <w:tcW w:w="10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07463B" w:rsidRPr="004B196F" w:rsidRDefault="0007463B" w:rsidP="001423C8">
            <w:pPr>
              <w:widowControl/>
              <w:jc w:val="center"/>
              <w:rPr>
                <w:rFonts w:ascii="仿宋" w:eastAsia="仿宋" w:hAnsi="仿宋"/>
                <w:color w:val="000000" w:themeColor="text1"/>
                <w:kern w:val="0"/>
                <w:sz w:val="30"/>
                <w:szCs w:val="30"/>
              </w:rPr>
            </w:pPr>
            <w:r w:rsidRPr="004B196F">
              <w:rPr>
                <w:rFonts w:ascii="仿宋" w:eastAsia="仿宋" w:hAnsi="仿宋" w:hint="eastAsia"/>
                <w:color w:val="000000" w:themeColor="text1"/>
                <w:kern w:val="0"/>
                <w:sz w:val="30"/>
                <w:szCs w:val="30"/>
              </w:rPr>
              <w:t>一等奖</w:t>
            </w:r>
          </w:p>
        </w:tc>
        <w:tc>
          <w:tcPr>
            <w:tcW w:w="1094" w:type="dxa"/>
            <w:tcBorders>
              <w:top w:val="single" w:sz="8" w:space="0" w:color="auto"/>
              <w:left w:val="nil"/>
              <w:bottom w:val="single" w:sz="8" w:space="0" w:color="auto"/>
              <w:right w:val="single" w:sz="8" w:space="0" w:color="auto"/>
            </w:tcBorders>
            <w:vAlign w:val="center"/>
          </w:tcPr>
          <w:p w:rsidR="0007463B" w:rsidRPr="004B196F" w:rsidRDefault="0007463B" w:rsidP="001423C8">
            <w:pPr>
              <w:widowControl/>
              <w:jc w:val="center"/>
              <w:rPr>
                <w:rFonts w:ascii="仿宋" w:eastAsia="仿宋" w:hAnsi="仿宋"/>
                <w:color w:val="000000" w:themeColor="text1"/>
                <w:kern w:val="0"/>
                <w:sz w:val="30"/>
                <w:szCs w:val="30"/>
              </w:rPr>
            </w:pPr>
            <w:r w:rsidRPr="004B196F">
              <w:rPr>
                <w:rFonts w:ascii="仿宋" w:eastAsia="仿宋" w:hAnsi="仿宋" w:hint="eastAsia"/>
                <w:color w:val="000000" w:themeColor="text1"/>
                <w:kern w:val="0"/>
                <w:sz w:val="30"/>
                <w:szCs w:val="30"/>
              </w:rPr>
              <w:t>二等奖</w:t>
            </w:r>
          </w:p>
        </w:tc>
        <w:tc>
          <w:tcPr>
            <w:tcW w:w="945" w:type="dxa"/>
            <w:tcBorders>
              <w:top w:val="single" w:sz="8" w:space="0" w:color="auto"/>
              <w:left w:val="nil"/>
              <w:bottom w:val="single" w:sz="8" w:space="0" w:color="auto"/>
              <w:right w:val="single" w:sz="8" w:space="0" w:color="auto"/>
            </w:tcBorders>
            <w:vAlign w:val="center"/>
          </w:tcPr>
          <w:p w:rsidR="0007463B" w:rsidRPr="004B196F" w:rsidRDefault="0007463B" w:rsidP="001423C8">
            <w:pPr>
              <w:widowControl/>
              <w:jc w:val="center"/>
              <w:rPr>
                <w:rFonts w:ascii="仿宋" w:eastAsia="仿宋" w:hAnsi="仿宋"/>
                <w:color w:val="000000" w:themeColor="text1"/>
                <w:kern w:val="0"/>
                <w:sz w:val="30"/>
                <w:szCs w:val="30"/>
              </w:rPr>
            </w:pPr>
            <w:r w:rsidRPr="004B196F">
              <w:rPr>
                <w:rFonts w:ascii="仿宋" w:eastAsia="仿宋" w:hAnsi="仿宋" w:hint="eastAsia"/>
                <w:color w:val="000000" w:themeColor="text1"/>
                <w:kern w:val="0"/>
                <w:sz w:val="30"/>
                <w:szCs w:val="30"/>
              </w:rPr>
              <w:t>三等奖</w:t>
            </w:r>
          </w:p>
        </w:tc>
        <w:tc>
          <w:tcPr>
            <w:tcW w:w="62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07463B" w:rsidRPr="004B196F" w:rsidRDefault="0007463B" w:rsidP="00521893">
            <w:pPr>
              <w:widowControl/>
              <w:jc w:val="center"/>
              <w:rPr>
                <w:rFonts w:ascii="仿宋" w:eastAsia="仿宋" w:hAnsi="仿宋"/>
                <w:color w:val="000000" w:themeColor="text1"/>
                <w:kern w:val="0"/>
                <w:sz w:val="30"/>
                <w:szCs w:val="30"/>
              </w:rPr>
            </w:pPr>
            <w:r w:rsidRPr="004B196F">
              <w:rPr>
                <w:rFonts w:ascii="仿宋" w:eastAsia="仿宋" w:hAnsi="仿宋" w:hint="eastAsia"/>
                <w:color w:val="000000" w:themeColor="text1"/>
                <w:kern w:val="0"/>
                <w:sz w:val="30"/>
                <w:szCs w:val="30"/>
              </w:rPr>
              <w:t>第1</w:t>
            </w:r>
          </w:p>
        </w:tc>
        <w:tc>
          <w:tcPr>
            <w:tcW w:w="707" w:type="dxa"/>
            <w:tcBorders>
              <w:top w:val="single" w:sz="8" w:space="0" w:color="auto"/>
              <w:left w:val="nil"/>
              <w:bottom w:val="single" w:sz="8" w:space="0" w:color="auto"/>
              <w:right w:val="single" w:sz="8" w:space="0" w:color="auto"/>
            </w:tcBorders>
            <w:vAlign w:val="center"/>
          </w:tcPr>
          <w:p w:rsidR="0007463B" w:rsidRPr="004B196F" w:rsidRDefault="0007463B" w:rsidP="00521893">
            <w:pPr>
              <w:widowControl/>
              <w:jc w:val="center"/>
              <w:rPr>
                <w:rFonts w:ascii="仿宋" w:eastAsia="仿宋" w:hAnsi="仿宋"/>
                <w:color w:val="000000" w:themeColor="text1"/>
                <w:kern w:val="0"/>
                <w:sz w:val="30"/>
                <w:szCs w:val="30"/>
              </w:rPr>
            </w:pPr>
            <w:r w:rsidRPr="004B196F">
              <w:rPr>
                <w:rFonts w:ascii="仿宋" w:eastAsia="仿宋" w:hAnsi="仿宋" w:hint="eastAsia"/>
                <w:color w:val="000000" w:themeColor="text1"/>
                <w:kern w:val="0"/>
                <w:sz w:val="30"/>
                <w:szCs w:val="30"/>
              </w:rPr>
              <w:t>第2</w:t>
            </w:r>
          </w:p>
        </w:tc>
      </w:tr>
      <w:tr w:rsidR="0007463B" w:rsidRPr="004B196F" w:rsidTr="0007463B">
        <w:trPr>
          <w:trHeight w:val="468"/>
          <w:jc w:val="center"/>
        </w:trPr>
        <w:tc>
          <w:tcPr>
            <w:tcW w:w="111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奖励分</w:t>
            </w:r>
          </w:p>
        </w:tc>
        <w:tc>
          <w:tcPr>
            <w:tcW w:w="1088" w:type="dxa"/>
            <w:tcBorders>
              <w:top w:val="nil"/>
              <w:left w:val="nil"/>
              <w:bottom w:val="single" w:sz="8" w:space="0" w:color="auto"/>
              <w:right w:val="single" w:sz="8" w:space="0" w:color="auto"/>
            </w:tcBorders>
            <w:tcMar>
              <w:top w:w="0" w:type="dxa"/>
              <w:left w:w="57" w:type="dxa"/>
              <w:bottom w:w="0" w:type="dxa"/>
              <w:right w:w="57" w:type="dxa"/>
            </w:tcMa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5</w:t>
            </w:r>
          </w:p>
        </w:tc>
        <w:tc>
          <w:tcPr>
            <w:tcW w:w="1088" w:type="dxa"/>
            <w:tcBorders>
              <w:top w:val="nil"/>
              <w:left w:val="nil"/>
              <w:bottom w:val="single" w:sz="8" w:space="0" w:color="auto"/>
              <w:right w:val="single" w:sz="8" w:space="0" w:color="auto"/>
            </w:tcBorders>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4</w:t>
            </w:r>
          </w:p>
        </w:tc>
        <w:tc>
          <w:tcPr>
            <w:tcW w:w="1088" w:type="dxa"/>
            <w:tcBorders>
              <w:top w:val="nil"/>
              <w:left w:val="nil"/>
              <w:bottom w:val="single" w:sz="8" w:space="0" w:color="auto"/>
              <w:right w:val="single" w:sz="8" w:space="0" w:color="auto"/>
            </w:tcBorders>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3</w:t>
            </w:r>
          </w:p>
        </w:tc>
        <w:tc>
          <w:tcPr>
            <w:tcW w:w="1088" w:type="dxa"/>
            <w:tcBorders>
              <w:top w:val="nil"/>
              <w:left w:val="nil"/>
              <w:bottom w:val="single" w:sz="8" w:space="0" w:color="auto"/>
              <w:right w:val="single" w:sz="8" w:space="0" w:color="auto"/>
            </w:tcBorders>
            <w:tcMar>
              <w:top w:w="0" w:type="dxa"/>
              <w:left w:w="57" w:type="dxa"/>
              <w:bottom w:w="0" w:type="dxa"/>
              <w:right w:w="57" w:type="dxa"/>
            </w:tcMa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3</w:t>
            </w:r>
          </w:p>
        </w:tc>
        <w:tc>
          <w:tcPr>
            <w:tcW w:w="1094" w:type="dxa"/>
            <w:tcBorders>
              <w:top w:val="nil"/>
              <w:left w:val="nil"/>
              <w:bottom w:val="single" w:sz="8" w:space="0" w:color="auto"/>
              <w:right w:val="single" w:sz="8" w:space="0" w:color="auto"/>
            </w:tcBorders>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2</w:t>
            </w:r>
          </w:p>
        </w:tc>
        <w:tc>
          <w:tcPr>
            <w:tcW w:w="945" w:type="dxa"/>
            <w:tcBorders>
              <w:top w:val="nil"/>
              <w:left w:val="nil"/>
              <w:bottom w:val="single" w:sz="8" w:space="0" w:color="auto"/>
              <w:right w:val="single" w:sz="8" w:space="0" w:color="auto"/>
            </w:tcBorders>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1</w:t>
            </w:r>
          </w:p>
        </w:tc>
        <w:tc>
          <w:tcPr>
            <w:tcW w:w="6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521893">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1</w:t>
            </w:r>
          </w:p>
        </w:tc>
        <w:tc>
          <w:tcPr>
            <w:tcW w:w="707" w:type="dxa"/>
            <w:tcBorders>
              <w:top w:val="nil"/>
              <w:left w:val="nil"/>
              <w:bottom w:val="single" w:sz="8" w:space="0" w:color="auto"/>
              <w:right w:val="single" w:sz="8" w:space="0" w:color="auto"/>
            </w:tcBorders>
            <w:vAlign w:val="center"/>
          </w:tcPr>
          <w:p w:rsidR="0007463B" w:rsidRPr="004B196F" w:rsidRDefault="0007463B" w:rsidP="00521893">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0.5</w:t>
            </w:r>
          </w:p>
        </w:tc>
      </w:tr>
    </w:tbl>
    <w:p w:rsidR="0007463B" w:rsidRPr="0007463B" w:rsidRDefault="0007463B" w:rsidP="0007463B">
      <w:pPr>
        <w:widowControl/>
        <w:spacing w:beforeLines="100" w:before="312" w:afterLines="50" w:after="156" w:line="62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3.5 获得政府荣誉称号的学生</w:t>
      </w:r>
    </w:p>
    <w:tbl>
      <w:tblPr>
        <w:tblW w:w="5282" w:type="pct"/>
        <w:jc w:val="center"/>
        <w:tblCellMar>
          <w:left w:w="0" w:type="dxa"/>
          <w:right w:w="0" w:type="dxa"/>
        </w:tblCellMar>
        <w:tblLook w:val="04A0" w:firstRow="1" w:lastRow="0" w:firstColumn="1" w:lastColumn="0" w:noHBand="0" w:noVBand="1"/>
      </w:tblPr>
      <w:tblGrid>
        <w:gridCol w:w="1908"/>
        <w:gridCol w:w="3628"/>
        <w:gridCol w:w="3927"/>
      </w:tblGrid>
      <w:tr w:rsidR="0007463B" w:rsidRPr="004B196F" w:rsidTr="00981C1E">
        <w:trPr>
          <w:trHeight w:val="7"/>
          <w:jc w:val="center"/>
        </w:trPr>
        <w:tc>
          <w:tcPr>
            <w:tcW w:w="100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项目</w:t>
            </w:r>
          </w:p>
        </w:tc>
        <w:tc>
          <w:tcPr>
            <w:tcW w:w="3992" w:type="pct"/>
            <w:gridSpan w:val="2"/>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141510">
            <w:pPr>
              <w:widowControl/>
              <w:spacing w:line="500" w:lineRule="exact"/>
              <w:jc w:val="center"/>
              <w:rPr>
                <w:rFonts w:ascii="仿宋" w:eastAsia="仿宋" w:hAnsi="仿宋"/>
                <w:color w:val="000000" w:themeColor="text1"/>
                <w:kern w:val="0"/>
                <w:sz w:val="30"/>
                <w:szCs w:val="30"/>
              </w:rPr>
            </w:pPr>
            <w:r w:rsidRPr="004B196F">
              <w:rPr>
                <w:rFonts w:ascii="仿宋" w:eastAsia="仿宋" w:hAnsi="仿宋" w:hint="eastAsia"/>
                <w:color w:val="000000" w:themeColor="text1"/>
                <w:kern w:val="0"/>
                <w:sz w:val="30"/>
                <w:szCs w:val="30"/>
              </w:rPr>
              <w:t>获得政府荣誉称号</w:t>
            </w:r>
          </w:p>
          <w:p w:rsidR="0007463B" w:rsidRPr="004B196F" w:rsidRDefault="0007463B" w:rsidP="00141510">
            <w:pPr>
              <w:widowControl/>
              <w:spacing w:line="500" w:lineRule="exact"/>
              <w:jc w:val="center"/>
              <w:rPr>
                <w:color w:val="000000" w:themeColor="text1"/>
                <w:kern w:val="0"/>
                <w:szCs w:val="21"/>
              </w:rPr>
            </w:pPr>
            <w:r w:rsidRPr="004B196F">
              <w:rPr>
                <w:rFonts w:ascii="仿宋" w:eastAsia="仿宋" w:hAnsi="仿宋" w:hint="eastAsia"/>
                <w:color w:val="000000" w:themeColor="text1"/>
                <w:kern w:val="0"/>
                <w:sz w:val="30"/>
                <w:szCs w:val="30"/>
              </w:rPr>
              <w:t>（国家奖学金、励志奖学金除外）</w:t>
            </w:r>
          </w:p>
        </w:tc>
      </w:tr>
      <w:tr w:rsidR="0007463B" w:rsidRPr="004B196F" w:rsidTr="00981C1E">
        <w:trPr>
          <w:trHeight w:val="18"/>
          <w:jc w:val="center"/>
        </w:trPr>
        <w:tc>
          <w:tcPr>
            <w:tcW w:w="1008"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jc w:val="center"/>
              <w:rPr>
                <w:color w:val="000000" w:themeColor="text1"/>
                <w:kern w:val="0"/>
                <w:szCs w:val="21"/>
              </w:rPr>
            </w:pPr>
            <w:r w:rsidRPr="004B196F">
              <w:rPr>
                <w:rFonts w:ascii="仿宋" w:eastAsia="仿宋" w:hAnsi="仿宋" w:hint="eastAsia"/>
                <w:color w:val="000000" w:themeColor="text1"/>
                <w:kern w:val="0"/>
                <w:sz w:val="30"/>
                <w:szCs w:val="30"/>
              </w:rPr>
              <w:t>类别</w:t>
            </w:r>
          </w:p>
        </w:tc>
        <w:tc>
          <w:tcPr>
            <w:tcW w:w="1917"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141510">
            <w:pPr>
              <w:widowControl/>
              <w:spacing w:line="500" w:lineRule="exact"/>
              <w:jc w:val="center"/>
              <w:rPr>
                <w:rFonts w:ascii="仿宋" w:eastAsia="仿宋" w:hAnsi="仿宋"/>
                <w:color w:val="000000" w:themeColor="text1"/>
                <w:kern w:val="0"/>
                <w:sz w:val="30"/>
                <w:szCs w:val="30"/>
              </w:rPr>
            </w:pPr>
            <w:r w:rsidRPr="004B196F">
              <w:rPr>
                <w:rFonts w:ascii="仿宋" w:eastAsia="仿宋" w:hAnsi="仿宋" w:hint="eastAsia"/>
                <w:color w:val="000000" w:themeColor="text1"/>
                <w:kern w:val="0"/>
                <w:sz w:val="30"/>
                <w:szCs w:val="30"/>
              </w:rPr>
              <w:t>全国三好学生、优秀学生干部、优秀共青团员、优秀团干部、优秀青年志愿者等其他国家级荣誉</w:t>
            </w:r>
          </w:p>
        </w:tc>
        <w:tc>
          <w:tcPr>
            <w:tcW w:w="2075"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141510">
            <w:pPr>
              <w:widowControl/>
              <w:spacing w:line="500" w:lineRule="exact"/>
              <w:jc w:val="center"/>
              <w:rPr>
                <w:rFonts w:ascii="仿宋" w:eastAsia="仿宋" w:hAnsi="仿宋"/>
                <w:color w:val="000000" w:themeColor="text1"/>
                <w:kern w:val="0"/>
                <w:sz w:val="30"/>
                <w:szCs w:val="30"/>
              </w:rPr>
            </w:pPr>
            <w:r w:rsidRPr="004B196F">
              <w:rPr>
                <w:rFonts w:ascii="仿宋" w:eastAsia="仿宋" w:hAnsi="仿宋" w:hint="eastAsia"/>
                <w:color w:val="000000" w:themeColor="text1"/>
                <w:kern w:val="0"/>
                <w:sz w:val="30"/>
                <w:szCs w:val="30"/>
              </w:rPr>
              <w:t>四川省优秀共产党员、三好学生、优秀学生干部、优秀共青团员、优秀团干部、优秀青年志愿者等其他省部级荣誉</w:t>
            </w:r>
          </w:p>
        </w:tc>
      </w:tr>
      <w:tr w:rsidR="0007463B" w:rsidRPr="004B196F" w:rsidTr="00981C1E">
        <w:trPr>
          <w:jc w:val="center"/>
        </w:trPr>
        <w:tc>
          <w:tcPr>
            <w:tcW w:w="1008"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奖励分</w:t>
            </w:r>
          </w:p>
        </w:tc>
        <w:tc>
          <w:tcPr>
            <w:tcW w:w="1917"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2</w:t>
            </w:r>
          </w:p>
        </w:tc>
        <w:tc>
          <w:tcPr>
            <w:tcW w:w="2075"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1</w:t>
            </w:r>
          </w:p>
        </w:tc>
      </w:tr>
    </w:tbl>
    <w:p w:rsidR="0007463B" w:rsidRPr="0007463B" w:rsidRDefault="0007463B" w:rsidP="0007463B">
      <w:pPr>
        <w:widowControl/>
        <w:spacing w:beforeLines="100" w:before="312" w:afterLines="50" w:after="156" w:line="62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3.6艺体类学生通过大学英语4级考试</w:t>
      </w:r>
    </w:p>
    <w:tbl>
      <w:tblPr>
        <w:tblW w:w="0" w:type="auto"/>
        <w:jc w:val="center"/>
        <w:tblCellMar>
          <w:left w:w="0" w:type="dxa"/>
          <w:right w:w="0" w:type="dxa"/>
        </w:tblCellMar>
        <w:tblLook w:val="04A0" w:firstRow="1" w:lastRow="0" w:firstColumn="1" w:lastColumn="0" w:noHBand="0" w:noVBand="1"/>
      </w:tblPr>
      <w:tblGrid>
        <w:gridCol w:w="1254"/>
        <w:gridCol w:w="1894"/>
        <w:gridCol w:w="2905"/>
        <w:gridCol w:w="2367"/>
      </w:tblGrid>
      <w:tr w:rsidR="0007463B" w:rsidRPr="004B196F" w:rsidTr="00431FAD">
        <w:trPr>
          <w:jc w:val="center"/>
        </w:trPr>
        <w:tc>
          <w:tcPr>
            <w:tcW w:w="12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431FAD">
            <w:pPr>
              <w:widowControl/>
              <w:spacing w:line="315" w:lineRule="atLeast"/>
              <w:jc w:val="center"/>
              <w:rPr>
                <w:color w:val="000000" w:themeColor="text1"/>
                <w:kern w:val="0"/>
                <w:szCs w:val="21"/>
              </w:rPr>
            </w:pPr>
            <w:r w:rsidRPr="004B196F">
              <w:rPr>
                <w:rFonts w:ascii="仿宋" w:eastAsia="仿宋" w:hAnsi="仿宋" w:hint="eastAsia"/>
                <w:color w:val="000000" w:themeColor="text1"/>
                <w:spacing w:val="-10"/>
                <w:kern w:val="0"/>
                <w:sz w:val="30"/>
                <w:szCs w:val="30"/>
              </w:rPr>
              <w:t>成绩</w:t>
            </w:r>
          </w:p>
        </w:tc>
        <w:tc>
          <w:tcPr>
            <w:tcW w:w="189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431FAD">
            <w:pPr>
              <w:widowControl/>
              <w:spacing w:line="315" w:lineRule="atLeast"/>
              <w:jc w:val="center"/>
              <w:rPr>
                <w:color w:val="000000" w:themeColor="text1"/>
                <w:kern w:val="0"/>
                <w:szCs w:val="21"/>
              </w:rPr>
            </w:pPr>
            <w:r w:rsidRPr="004B196F">
              <w:rPr>
                <w:rFonts w:ascii="仿宋" w:eastAsia="仿宋" w:hAnsi="仿宋" w:hint="eastAsia"/>
                <w:color w:val="000000" w:themeColor="text1"/>
                <w:spacing w:val="-10"/>
                <w:kern w:val="0"/>
                <w:sz w:val="30"/>
                <w:szCs w:val="30"/>
              </w:rPr>
              <w:t>≥603分</w:t>
            </w:r>
          </w:p>
        </w:tc>
        <w:tc>
          <w:tcPr>
            <w:tcW w:w="290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431FAD">
            <w:pPr>
              <w:widowControl/>
              <w:spacing w:line="315" w:lineRule="atLeast"/>
              <w:jc w:val="center"/>
              <w:rPr>
                <w:color w:val="000000" w:themeColor="text1"/>
                <w:kern w:val="0"/>
                <w:szCs w:val="21"/>
              </w:rPr>
            </w:pPr>
            <w:r w:rsidRPr="004B196F">
              <w:rPr>
                <w:rFonts w:ascii="仿宋" w:eastAsia="仿宋" w:hAnsi="仿宋" w:hint="eastAsia"/>
                <w:color w:val="000000" w:themeColor="text1"/>
                <w:spacing w:val="-10"/>
                <w:kern w:val="0"/>
                <w:sz w:val="30"/>
                <w:szCs w:val="30"/>
              </w:rPr>
              <w:t>603</w:t>
            </w:r>
            <w:r w:rsidRPr="004B196F">
              <w:rPr>
                <w:rFonts w:ascii="仿宋" w:eastAsia="仿宋" w:hAnsi="仿宋"/>
                <w:color w:val="000000" w:themeColor="text1"/>
                <w:spacing w:val="-10"/>
                <w:kern w:val="0"/>
                <w:sz w:val="30"/>
                <w:szCs w:val="30"/>
              </w:rPr>
              <w:t>＞</w:t>
            </w:r>
            <w:r w:rsidRPr="004B196F">
              <w:rPr>
                <w:rFonts w:ascii="仿宋" w:eastAsia="仿宋" w:hAnsi="仿宋" w:hint="eastAsia"/>
                <w:color w:val="000000" w:themeColor="text1"/>
                <w:spacing w:val="-10"/>
                <w:kern w:val="0"/>
                <w:sz w:val="30"/>
                <w:szCs w:val="30"/>
              </w:rPr>
              <w:t>x≥533分</w:t>
            </w:r>
          </w:p>
        </w:tc>
        <w:tc>
          <w:tcPr>
            <w:tcW w:w="2367"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431FAD">
            <w:pPr>
              <w:widowControl/>
              <w:spacing w:line="315" w:lineRule="atLeast"/>
              <w:jc w:val="center"/>
              <w:rPr>
                <w:color w:val="000000" w:themeColor="text1"/>
                <w:kern w:val="0"/>
                <w:szCs w:val="21"/>
              </w:rPr>
            </w:pPr>
            <w:r w:rsidRPr="004B196F">
              <w:rPr>
                <w:rFonts w:ascii="仿宋" w:eastAsia="仿宋" w:hAnsi="仿宋" w:hint="eastAsia"/>
                <w:color w:val="000000" w:themeColor="text1"/>
                <w:spacing w:val="-10"/>
                <w:kern w:val="0"/>
                <w:sz w:val="30"/>
                <w:szCs w:val="30"/>
              </w:rPr>
              <w:t>533</w:t>
            </w:r>
            <w:r w:rsidRPr="004B196F">
              <w:rPr>
                <w:rFonts w:ascii="仿宋" w:eastAsia="仿宋" w:hAnsi="仿宋"/>
                <w:color w:val="000000" w:themeColor="text1"/>
                <w:spacing w:val="-10"/>
                <w:kern w:val="0"/>
                <w:sz w:val="30"/>
                <w:szCs w:val="30"/>
              </w:rPr>
              <w:t>＞</w:t>
            </w:r>
            <w:r w:rsidRPr="004B196F">
              <w:rPr>
                <w:rFonts w:ascii="仿宋" w:eastAsia="仿宋" w:hAnsi="仿宋" w:hint="eastAsia"/>
                <w:color w:val="000000" w:themeColor="text1"/>
                <w:spacing w:val="-10"/>
                <w:kern w:val="0"/>
                <w:sz w:val="30"/>
                <w:szCs w:val="30"/>
              </w:rPr>
              <w:t>x≥425分</w:t>
            </w:r>
          </w:p>
        </w:tc>
      </w:tr>
      <w:tr w:rsidR="0007463B" w:rsidRPr="004B196F" w:rsidTr="00431FAD">
        <w:trPr>
          <w:jc w:val="center"/>
        </w:trPr>
        <w:tc>
          <w:tcPr>
            <w:tcW w:w="12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7463B" w:rsidRPr="004B196F" w:rsidRDefault="0007463B" w:rsidP="00431FAD">
            <w:pPr>
              <w:widowControl/>
              <w:spacing w:line="315" w:lineRule="atLeast"/>
              <w:jc w:val="center"/>
              <w:rPr>
                <w:color w:val="000000" w:themeColor="text1"/>
                <w:kern w:val="0"/>
                <w:szCs w:val="21"/>
              </w:rPr>
            </w:pPr>
            <w:r w:rsidRPr="004B196F">
              <w:rPr>
                <w:rFonts w:ascii="仿宋" w:eastAsia="仿宋" w:hAnsi="仿宋" w:hint="eastAsia"/>
                <w:color w:val="000000" w:themeColor="text1"/>
                <w:spacing w:val="-10"/>
                <w:kern w:val="0"/>
                <w:sz w:val="30"/>
                <w:szCs w:val="30"/>
              </w:rPr>
              <w:t>奖励分</w:t>
            </w:r>
          </w:p>
        </w:tc>
        <w:tc>
          <w:tcPr>
            <w:tcW w:w="189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07463B" w:rsidRPr="004B196F" w:rsidRDefault="0007463B" w:rsidP="00431FAD">
            <w:pPr>
              <w:widowControl/>
              <w:spacing w:line="315" w:lineRule="atLeast"/>
              <w:jc w:val="center"/>
              <w:rPr>
                <w:color w:val="000000" w:themeColor="text1"/>
                <w:kern w:val="0"/>
                <w:szCs w:val="21"/>
              </w:rPr>
            </w:pPr>
            <w:r w:rsidRPr="004B196F">
              <w:rPr>
                <w:rFonts w:ascii="仿宋" w:eastAsia="仿宋" w:hAnsi="仿宋" w:hint="eastAsia"/>
                <w:color w:val="000000" w:themeColor="text1"/>
                <w:spacing w:val="-10"/>
                <w:kern w:val="0"/>
                <w:sz w:val="30"/>
                <w:szCs w:val="30"/>
              </w:rPr>
              <w:t>1.5</w:t>
            </w:r>
          </w:p>
        </w:tc>
        <w:tc>
          <w:tcPr>
            <w:tcW w:w="290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07463B" w:rsidRPr="004B196F" w:rsidRDefault="0007463B" w:rsidP="00981C1E">
            <w:pPr>
              <w:widowControl/>
              <w:spacing w:line="315" w:lineRule="atLeast"/>
              <w:jc w:val="center"/>
              <w:rPr>
                <w:color w:val="000000" w:themeColor="text1"/>
                <w:kern w:val="0"/>
                <w:szCs w:val="21"/>
              </w:rPr>
            </w:pPr>
            <w:r w:rsidRPr="004B196F">
              <w:rPr>
                <w:rFonts w:ascii="仿宋" w:eastAsia="仿宋" w:hAnsi="仿宋" w:hint="eastAsia"/>
                <w:color w:val="000000" w:themeColor="text1"/>
                <w:spacing w:val="-10"/>
                <w:kern w:val="0"/>
                <w:sz w:val="30"/>
                <w:szCs w:val="30"/>
              </w:rPr>
              <w:t>1</w:t>
            </w:r>
          </w:p>
        </w:tc>
        <w:tc>
          <w:tcPr>
            <w:tcW w:w="2367"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07463B" w:rsidRPr="004B196F" w:rsidRDefault="0007463B" w:rsidP="00431FAD">
            <w:pPr>
              <w:widowControl/>
              <w:spacing w:line="315" w:lineRule="atLeast"/>
              <w:jc w:val="center"/>
              <w:rPr>
                <w:color w:val="000000" w:themeColor="text1"/>
                <w:kern w:val="0"/>
                <w:szCs w:val="21"/>
              </w:rPr>
            </w:pPr>
            <w:r w:rsidRPr="004B196F">
              <w:rPr>
                <w:rFonts w:ascii="仿宋" w:eastAsia="仿宋" w:hAnsi="仿宋" w:hint="eastAsia"/>
                <w:color w:val="000000" w:themeColor="text1"/>
                <w:spacing w:val="-10"/>
                <w:kern w:val="0"/>
                <w:sz w:val="30"/>
                <w:szCs w:val="30"/>
              </w:rPr>
              <w:t>0.5</w:t>
            </w:r>
          </w:p>
        </w:tc>
      </w:tr>
    </w:tbl>
    <w:p w:rsidR="0007463B" w:rsidRPr="0007463B" w:rsidRDefault="0007463B" w:rsidP="0007463B">
      <w:pPr>
        <w:widowControl/>
        <w:spacing w:beforeLines="100" w:before="312" w:afterLines="50" w:after="156" w:line="62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3.7非英语专业学生通过大学英语6级考试</w:t>
      </w:r>
    </w:p>
    <w:tbl>
      <w:tblPr>
        <w:tblW w:w="0" w:type="auto"/>
        <w:jc w:val="center"/>
        <w:tblCellMar>
          <w:left w:w="0" w:type="dxa"/>
          <w:right w:w="0" w:type="dxa"/>
        </w:tblCellMar>
        <w:tblLook w:val="04A0" w:firstRow="1" w:lastRow="0" w:firstColumn="1" w:lastColumn="0" w:noHBand="0" w:noVBand="1"/>
      </w:tblPr>
      <w:tblGrid>
        <w:gridCol w:w="1254"/>
        <w:gridCol w:w="1894"/>
        <w:gridCol w:w="2905"/>
        <w:gridCol w:w="2367"/>
      </w:tblGrid>
      <w:tr w:rsidR="0007463B" w:rsidRPr="004B196F" w:rsidTr="00061BF4">
        <w:trPr>
          <w:jc w:val="center"/>
        </w:trPr>
        <w:tc>
          <w:tcPr>
            <w:tcW w:w="12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4B2A65">
            <w:pPr>
              <w:widowControl/>
              <w:spacing w:line="315" w:lineRule="atLeast"/>
              <w:jc w:val="center"/>
              <w:rPr>
                <w:color w:val="000000" w:themeColor="text1"/>
                <w:kern w:val="0"/>
                <w:szCs w:val="21"/>
              </w:rPr>
            </w:pPr>
            <w:r w:rsidRPr="004B196F">
              <w:rPr>
                <w:rFonts w:ascii="仿宋" w:eastAsia="仿宋" w:hAnsi="仿宋" w:hint="eastAsia"/>
                <w:color w:val="000000" w:themeColor="text1"/>
                <w:spacing w:val="-10"/>
                <w:kern w:val="0"/>
                <w:sz w:val="30"/>
                <w:szCs w:val="30"/>
              </w:rPr>
              <w:t>成绩</w:t>
            </w:r>
          </w:p>
        </w:tc>
        <w:tc>
          <w:tcPr>
            <w:tcW w:w="189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4B2A65">
            <w:pPr>
              <w:widowControl/>
              <w:spacing w:line="315" w:lineRule="atLeast"/>
              <w:jc w:val="center"/>
              <w:rPr>
                <w:color w:val="000000" w:themeColor="text1"/>
                <w:kern w:val="0"/>
                <w:szCs w:val="21"/>
              </w:rPr>
            </w:pPr>
            <w:r w:rsidRPr="004B196F">
              <w:rPr>
                <w:rFonts w:ascii="仿宋" w:eastAsia="仿宋" w:hAnsi="仿宋" w:hint="eastAsia"/>
                <w:color w:val="000000" w:themeColor="text1"/>
                <w:spacing w:val="-10"/>
                <w:kern w:val="0"/>
                <w:sz w:val="30"/>
                <w:szCs w:val="30"/>
              </w:rPr>
              <w:t>≥603分</w:t>
            </w:r>
          </w:p>
        </w:tc>
        <w:tc>
          <w:tcPr>
            <w:tcW w:w="290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4B2A65">
            <w:pPr>
              <w:widowControl/>
              <w:spacing w:line="315" w:lineRule="atLeast"/>
              <w:jc w:val="center"/>
              <w:rPr>
                <w:rFonts w:ascii="仿宋" w:eastAsia="仿宋" w:hAnsi="仿宋"/>
                <w:color w:val="000000" w:themeColor="text1"/>
                <w:spacing w:val="-10"/>
                <w:kern w:val="0"/>
                <w:sz w:val="30"/>
                <w:szCs w:val="30"/>
              </w:rPr>
            </w:pPr>
            <w:r w:rsidRPr="004B196F">
              <w:rPr>
                <w:rFonts w:ascii="仿宋" w:eastAsia="仿宋" w:hAnsi="仿宋" w:hint="eastAsia"/>
                <w:color w:val="000000" w:themeColor="text1"/>
                <w:spacing w:val="-10"/>
                <w:kern w:val="0"/>
                <w:sz w:val="30"/>
                <w:szCs w:val="30"/>
              </w:rPr>
              <w:t>603</w:t>
            </w:r>
            <w:r w:rsidRPr="004B196F">
              <w:rPr>
                <w:rFonts w:ascii="仿宋" w:eastAsia="仿宋" w:hAnsi="仿宋"/>
                <w:color w:val="000000" w:themeColor="text1"/>
                <w:spacing w:val="-10"/>
                <w:kern w:val="0"/>
                <w:sz w:val="30"/>
                <w:szCs w:val="30"/>
              </w:rPr>
              <w:t>＞</w:t>
            </w:r>
            <w:r w:rsidRPr="004B196F">
              <w:rPr>
                <w:rFonts w:ascii="仿宋" w:eastAsia="仿宋" w:hAnsi="仿宋" w:hint="eastAsia"/>
                <w:color w:val="000000" w:themeColor="text1"/>
                <w:spacing w:val="-10"/>
                <w:kern w:val="0"/>
                <w:sz w:val="30"/>
                <w:szCs w:val="30"/>
              </w:rPr>
              <w:t>x≥533分</w:t>
            </w:r>
          </w:p>
        </w:tc>
        <w:tc>
          <w:tcPr>
            <w:tcW w:w="2367"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07463B" w:rsidRPr="004B196F" w:rsidRDefault="0007463B" w:rsidP="004B2A65">
            <w:pPr>
              <w:widowControl/>
              <w:spacing w:line="315" w:lineRule="atLeast"/>
              <w:jc w:val="center"/>
              <w:rPr>
                <w:color w:val="000000" w:themeColor="text1"/>
                <w:kern w:val="0"/>
                <w:szCs w:val="21"/>
              </w:rPr>
            </w:pPr>
            <w:r w:rsidRPr="004B196F">
              <w:rPr>
                <w:rFonts w:ascii="仿宋" w:eastAsia="仿宋" w:hAnsi="仿宋" w:hint="eastAsia"/>
                <w:color w:val="000000" w:themeColor="text1"/>
                <w:spacing w:val="-10"/>
                <w:kern w:val="0"/>
                <w:sz w:val="30"/>
                <w:szCs w:val="30"/>
              </w:rPr>
              <w:t>533</w:t>
            </w:r>
            <w:r w:rsidRPr="004B196F">
              <w:rPr>
                <w:rFonts w:ascii="仿宋" w:eastAsia="仿宋" w:hAnsi="仿宋"/>
                <w:color w:val="000000" w:themeColor="text1"/>
                <w:spacing w:val="-10"/>
                <w:kern w:val="0"/>
                <w:sz w:val="30"/>
                <w:szCs w:val="30"/>
              </w:rPr>
              <w:t>＞</w:t>
            </w:r>
            <w:r w:rsidRPr="004B196F">
              <w:rPr>
                <w:rFonts w:ascii="仿宋" w:eastAsia="仿宋" w:hAnsi="仿宋" w:hint="eastAsia"/>
                <w:color w:val="000000" w:themeColor="text1"/>
                <w:spacing w:val="-10"/>
                <w:kern w:val="0"/>
                <w:sz w:val="30"/>
                <w:szCs w:val="30"/>
              </w:rPr>
              <w:t>x≥425分</w:t>
            </w:r>
          </w:p>
        </w:tc>
      </w:tr>
      <w:tr w:rsidR="0007463B" w:rsidRPr="004B196F" w:rsidTr="00061BF4">
        <w:trPr>
          <w:jc w:val="center"/>
        </w:trPr>
        <w:tc>
          <w:tcPr>
            <w:tcW w:w="12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7463B" w:rsidRPr="004B196F" w:rsidRDefault="0007463B" w:rsidP="00853E0E">
            <w:pPr>
              <w:widowControl/>
              <w:spacing w:line="315" w:lineRule="atLeast"/>
              <w:jc w:val="center"/>
              <w:rPr>
                <w:color w:val="000000" w:themeColor="text1"/>
                <w:kern w:val="0"/>
                <w:szCs w:val="21"/>
              </w:rPr>
            </w:pPr>
            <w:r w:rsidRPr="004B196F">
              <w:rPr>
                <w:rFonts w:ascii="仿宋" w:eastAsia="仿宋" w:hAnsi="仿宋" w:hint="eastAsia"/>
                <w:color w:val="000000" w:themeColor="text1"/>
                <w:spacing w:val="-10"/>
                <w:kern w:val="0"/>
                <w:sz w:val="30"/>
                <w:szCs w:val="30"/>
              </w:rPr>
              <w:t>奖励分</w:t>
            </w:r>
          </w:p>
        </w:tc>
        <w:tc>
          <w:tcPr>
            <w:tcW w:w="189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07463B" w:rsidRPr="004B196F" w:rsidRDefault="0007463B" w:rsidP="00853E0E">
            <w:pPr>
              <w:widowControl/>
              <w:spacing w:line="315" w:lineRule="atLeast"/>
              <w:jc w:val="center"/>
              <w:rPr>
                <w:color w:val="000000" w:themeColor="text1"/>
                <w:kern w:val="0"/>
                <w:szCs w:val="21"/>
              </w:rPr>
            </w:pPr>
            <w:r w:rsidRPr="004B196F">
              <w:rPr>
                <w:rFonts w:ascii="仿宋" w:eastAsia="仿宋" w:hAnsi="仿宋" w:hint="eastAsia"/>
                <w:color w:val="000000" w:themeColor="text1"/>
                <w:spacing w:val="-10"/>
                <w:kern w:val="0"/>
                <w:sz w:val="30"/>
                <w:szCs w:val="30"/>
              </w:rPr>
              <w:t>2</w:t>
            </w:r>
          </w:p>
        </w:tc>
        <w:tc>
          <w:tcPr>
            <w:tcW w:w="290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07463B" w:rsidRPr="004B196F" w:rsidRDefault="0007463B" w:rsidP="00853E0E">
            <w:pPr>
              <w:widowControl/>
              <w:spacing w:line="315" w:lineRule="atLeast"/>
              <w:jc w:val="center"/>
              <w:rPr>
                <w:color w:val="000000" w:themeColor="text1"/>
                <w:kern w:val="0"/>
                <w:szCs w:val="21"/>
              </w:rPr>
            </w:pPr>
            <w:r w:rsidRPr="004B196F">
              <w:rPr>
                <w:rFonts w:ascii="仿宋" w:eastAsia="仿宋" w:hAnsi="仿宋" w:hint="eastAsia"/>
                <w:color w:val="000000" w:themeColor="text1"/>
                <w:spacing w:val="-10"/>
                <w:kern w:val="0"/>
                <w:sz w:val="30"/>
                <w:szCs w:val="30"/>
              </w:rPr>
              <w:t>1.5</w:t>
            </w:r>
          </w:p>
        </w:tc>
        <w:tc>
          <w:tcPr>
            <w:tcW w:w="2367"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07463B" w:rsidRPr="004B196F" w:rsidRDefault="0007463B" w:rsidP="00853E0E">
            <w:pPr>
              <w:widowControl/>
              <w:spacing w:line="315" w:lineRule="atLeast"/>
              <w:jc w:val="center"/>
              <w:rPr>
                <w:color w:val="000000" w:themeColor="text1"/>
                <w:kern w:val="0"/>
                <w:szCs w:val="21"/>
              </w:rPr>
            </w:pPr>
            <w:r w:rsidRPr="004B196F">
              <w:rPr>
                <w:rFonts w:ascii="仿宋" w:eastAsia="仿宋" w:hAnsi="仿宋" w:hint="eastAsia"/>
                <w:color w:val="000000" w:themeColor="text1"/>
                <w:spacing w:val="-10"/>
                <w:kern w:val="0"/>
                <w:sz w:val="30"/>
                <w:szCs w:val="30"/>
              </w:rPr>
              <w:t>1</w:t>
            </w:r>
          </w:p>
        </w:tc>
      </w:tr>
    </w:tbl>
    <w:p w:rsidR="0007463B" w:rsidRPr="0007463B" w:rsidRDefault="0007463B" w:rsidP="00141510">
      <w:pPr>
        <w:widowControl/>
        <w:spacing w:beforeLines="100" w:before="312" w:afterLines="50" w:after="156"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艺体类学生同时通过大学英语4级、6级考试，只计最高分，不重复记分。</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说明：</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w:t>
      </w:r>
      <w:r w:rsidRPr="0007463B">
        <w:rPr>
          <w:rFonts w:ascii="仿宋" w:eastAsia="仿宋" w:hAnsi="仿宋" w:hint="eastAsia"/>
          <w:color w:val="000000" w:themeColor="text1"/>
          <w:kern w:val="0"/>
          <w:sz w:val="32"/>
          <w:szCs w:val="32"/>
        </w:rPr>
        <w:t>1）上述3.1-3.7项中，同一奖项只计最高分，不重复记分，7项的得分累加即为奖励分，奖励分最高不超过5分</w:t>
      </w:r>
      <w:r w:rsidR="004B4ED3">
        <w:rPr>
          <w:rFonts w:ascii="仿宋" w:eastAsia="仿宋" w:hAnsi="仿宋" w:hint="eastAsia"/>
          <w:color w:val="000000" w:themeColor="text1"/>
          <w:kern w:val="0"/>
          <w:sz w:val="32"/>
          <w:szCs w:val="32"/>
        </w:rPr>
        <w:t>；</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kern w:val="0"/>
          <w:sz w:val="32"/>
          <w:szCs w:val="32"/>
        </w:rPr>
        <w:t>（</w:t>
      </w:r>
      <w:r w:rsidRPr="0007463B">
        <w:rPr>
          <w:rFonts w:ascii="仿宋" w:eastAsia="仿宋" w:hAnsi="仿宋" w:hint="eastAsia"/>
          <w:color w:val="000000" w:themeColor="text1"/>
          <w:kern w:val="0"/>
          <w:sz w:val="32"/>
          <w:szCs w:val="32"/>
        </w:rPr>
        <w:t>2）3.1-3.7项的统计截止日期为推免当年的8月31日</w:t>
      </w:r>
      <w:r w:rsidR="004B4ED3">
        <w:rPr>
          <w:rFonts w:ascii="仿宋" w:eastAsia="仿宋" w:hAnsi="仿宋" w:hint="eastAsia"/>
          <w:color w:val="000000" w:themeColor="text1"/>
          <w:kern w:val="0"/>
          <w:sz w:val="32"/>
          <w:szCs w:val="32"/>
        </w:rPr>
        <w:t>；</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kern w:val="0"/>
          <w:sz w:val="32"/>
          <w:szCs w:val="32"/>
        </w:rPr>
        <w:t>（</w:t>
      </w:r>
      <w:r w:rsidRPr="0007463B">
        <w:rPr>
          <w:rFonts w:ascii="仿宋" w:eastAsia="仿宋" w:hAnsi="仿宋" w:hint="eastAsia"/>
          <w:color w:val="000000" w:themeColor="text1"/>
          <w:kern w:val="0"/>
          <w:sz w:val="32"/>
          <w:szCs w:val="32"/>
        </w:rPr>
        <w:t>3）发表的论文以出版物为准，且出版刊物的出版日期须在推免当年的8月31日以前（含8月31日，若出版刊物无出版日期，则需杂志社提供加盖有效印章的证明），录用通知无效，政府科研成果奖励以证书为准</w:t>
      </w:r>
      <w:r w:rsidR="004B4ED3">
        <w:rPr>
          <w:rFonts w:ascii="仿宋" w:eastAsia="仿宋" w:hAnsi="仿宋" w:hint="eastAsia"/>
          <w:color w:val="000000" w:themeColor="text1"/>
          <w:kern w:val="0"/>
          <w:sz w:val="32"/>
          <w:szCs w:val="32"/>
        </w:rPr>
        <w:t>；</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kern w:val="0"/>
          <w:sz w:val="32"/>
          <w:szCs w:val="32"/>
        </w:rPr>
        <w:t>（</w:t>
      </w:r>
      <w:r w:rsidRPr="0007463B">
        <w:rPr>
          <w:rFonts w:ascii="仿宋" w:eastAsia="仿宋" w:hAnsi="仿宋" w:hint="eastAsia"/>
          <w:color w:val="000000" w:themeColor="text1"/>
          <w:kern w:val="0"/>
          <w:sz w:val="32"/>
          <w:szCs w:val="32"/>
        </w:rPr>
        <w:t>4）发明专利以专利授权证书为准</w:t>
      </w:r>
      <w:r w:rsidR="004B4ED3">
        <w:rPr>
          <w:rFonts w:ascii="仿宋" w:eastAsia="仿宋" w:hAnsi="仿宋" w:hint="eastAsia"/>
          <w:color w:val="000000" w:themeColor="text1"/>
          <w:kern w:val="0"/>
          <w:sz w:val="32"/>
          <w:szCs w:val="32"/>
        </w:rPr>
        <w:t>；</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kern w:val="0"/>
          <w:sz w:val="32"/>
          <w:szCs w:val="32"/>
        </w:rPr>
        <w:t>（</w:t>
      </w:r>
      <w:r w:rsidRPr="0007463B">
        <w:rPr>
          <w:rFonts w:ascii="仿宋" w:eastAsia="仿宋" w:hAnsi="仿宋" w:hint="eastAsia"/>
          <w:color w:val="000000" w:themeColor="text1"/>
          <w:kern w:val="0"/>
          <w:sz w:val="32"/>
          <w:szCs w:val="32"/>
        </w:rPr>
        <w:t>5）所有获奖、发表论文、发明专利署名单位第一必须为西华大学。</w:t>
      </w:r>
    </w:p>
    <w:p w:rsidR="0007463B" w:rsidRPr="0007463B" w:rsidRDefault="0007463B" w:rsidP="00141510">
      <w:pPr>
        <w:widowControl/>
        <w:spacing w:line="560" w:lineRule="exact"/>
        <w:ind w:firstLineChars="200" w:firstLine="640"/>
        <w:rPr>
          <w:rFonts w:ascii="黑体" w:eastAsia="黑体" w:hAnsi="黑体"/>
          <w:bCs/>
          <w:color w:val="000000" w:themeColor="text1"/>
          <w:kern w:val="0"/>
          <w:sz w:val="32"/>
          <w:szCs w:val="32"/>
        </w:rPr>
      </w:pPr>
      <w:r w:rsidRPr="0007463B">
        <w:rPr>
          <w:rFonts w:ascii="黑体" w:eastAsia="黑体" w:hAnsi="黑体" w:hint="eastAsia"/>
          <w:bCs/>
          <w:color w:val="000000" w:themeColor="text1"/>
          <w:kern w:val="0"/>
          <w:sz w:val="32"/>
          <w:szCs w:val="32"/>
        </w:rPr>
        <w:t>五、推荐程序</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1.公示学生名单。教务处按第四款第2条规定的方法计算学生的课程加权平均成绩，学院公示符合第三款第6条条件的学生名单，并接受学生的查询</w:t>
      </w:r>
      <w:r w:rsidR="004B4ED3">
        <w:rPr>
          <w:rFonts w:ascii="仿宋" w:eastAsia="仿宋" w:hAnsi="仿宋" w:hint="eastAsia"/>
          <w:color w:val="000000" w:themeColor="text1"/>
          <w:kern w:val="0"/>
          <w:sz w:val="32"/>
          <w:szCs w:val="32"/>
        </w:rPr>
        <w:t>。</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2.报名。符合报名条件的学生自愿报名，填写《西华大学推荐优秀应届本科毕业生免试攻读硕士学位研究生申请表》，申报奖励分并提交相关材料</w:t>
      </w:r>
      <w:r w:rsidR="004B4ED3">
        <w:rPr>
          <w:rFonts w:ascii="仿宋" w:eastAsia="仿宋" w:hAnsi="仿宋" w:hint="eastAsia"/>
          <w:color w:val="000000" w:themeColor="text1"/>
          <w:kern w:val="0"/>
          <w:sz w:val="32"/>
          <w:szCs w:val="32"/>
        </w:rPr>
        <w:t>。</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3.学院审查。学院按照第三款的总体要求审查学生的报名材料和报名资格，按照第四款的规定计算学生的综合分，根据综合分确定学生在本专业（西华学院、高水平运动队的学生按其在西华学院、高水平运动队）的综合排名，并在学院内公示10天，处理异议问题。再按照分配到学院各专业（西华学院、高水平运动队的学生按其分配到西华学院、高水平运动队）推免生名额的2倍确定本学院拟推免学生名单，汇总后连同学生申请表以及相关材料一式二份依次送学生工作部（处）、团委、教务处、科技处、研究生部审核。</w:t>
      </w:r>
    </w:p>
    <w:p w:rsidR="0007463B" w:rsidRPr="0007463B" w:rsidRDefault="0007463B" w:rsidP="00141510">
      <w:pPr>
        <w:widowControl/>
        <w:spacing w:afterLines="50" w:after="156"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4.职能部门审核。学生工作部（处）、团委、教务处、科技处分别审核下表所列条款中的内容，写出审核结论和奖励分记分分值，并负责处理相关异议问题。</w:t>
      </w:r>
    </w:p>
    <w:tbl>
      <w:tblPr>
        <w:tblW w:w="0" w:type="auto"/>
        <w:jc w:val="center"/>
        <w:tblCellMar>
          <w:left w:w="0" w:type="dxa"/>
          <w:right w:w="0" w:type="dxa"/>
        </w:tblCellMar>
        <w:tblLook w:val="04A0" w:firstRow="1" w:lastRow="0" w:firstColumn="1" w:lastColumn="0" w:noHBand="0" w:noVBand="1"/>
      </w:tblPr>
      <w:tblGrid>
        <w:gridCol w:w="2700"/>
        <w:gridCol w:w="5902"/>
      </w:tblGrid>
      <w:tr w:rsidR="0007463B" w:rsidRPr="004B196F" w:rsidTr="00222AFA">
        <w:trPr>
          <w:trHeight w:val="352"/>
          <w:jc w:val="center"/>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部门</w:t>
            </w:r>
          </w:p>
        </w:tc>
        <w:tc>
          <w:tcPr>
            <w:tcW w:w="5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463B" w:rsidRPr="004B196F" w:rsidRDefault="0007463B" w:rsidP="00141510">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审核内容</w:t>
            </w:r>
          </w:p>
        </w:tc>
      </w:tr>
      <w:tr w:rsidR="0007463B" w:rsidRPr="004B196F" w:rsidTr="00222AFA">
        <w:trPr>
          <w:trHeight w:val="189"/>
          <w:jc w:val="center"/>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463B" w:rsidRPr="004B196F" w:rsidRDefault="0007463B" w:rsidP="00222AFA">
            <w:pPr>
              <w:widowControl/>
              <w:spacing w:line="189" w:lineRule="atLeast"/>
              <w:jc w:val="center"/>
              <w:rPr>
                <w:color w:val="000000" w:themeColor="text1"/>
                <w:kern w:val="0"/>
                <w:szCs w:val="21"/>
              </w:rPr>
            </w:pPr>
            <w:r w:rsidRPr="004B196F">
              <w:rPr>
                <w:rFonts w:ascii="仿宋" w:eastAsia="仿宋" w:hAnsi="仿宋" w:hint="eastAsia"/>
                <w:color w:val="000000" w:themeColor="text1"/>
                <w:kern w:val="0"/>
                <w:sz w:val="30"/>
                <w:szCs w:val="30"/>
              </w:rPr>
              <w:t>学生工作部（处）</w:t>
            </w:r>
          </w:p>
        </w:tc>
        <w:tc>
          <w:tcPr>
            <w:tcW w:w="5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463B" w:rsidRPr="004B196F" w:rsidRDefault="0007463B" w:rsidP="00141510">
            <w:pPr>
              <w:widowControl/>
              <w:spacing w:line="500" w:lineRule="exact"/>
              <w:rPr>
                <w:color w:val="000000" w:themeColor="text1"/>
                <w:kern w:val="0"/>
                <w:szCs w:val="21"/>
              </w:rPr>
            </w:pPr>
            <w:r w:rsidRPr="004B196F">
              <w:rPr>
                <w:rFonts w:ascii="仿宋" w:eastAsia="仿宋" w:hAnsi="仿宋" w:hint="eastAsia"/>
                <w:color w:val="000000" w:themeColor="text1"/>
                <w:kern w:val="0"/>
                <w:sz w:val="30"/>
                <w:szCs w:val="30"/>
              </w:rPr>
              <w:t>第三款第3条</w:t>
            </w:r>
          </w:p>
        </w:tc>
      </w:tr>
      <w:tr w:rsidR="0007463B" w:rsidRPr="004B196F" w:rsidTr="00222AFA">
        <w:trPr>
          <w:trHeight w:val="540"/>
          <w:jc w:val="center"/>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团委</w:t>
            </w:r>
          </w:p>
        </w:tc>
        <w:tc>
          <w:tcPr>
            <w:tcW w:w="5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463B" w:rsidRPr="004B196F" w:rsidRDefault="0007463B" w:rsidP="00141510">
            <w:pPr>
              <w:widowControl/>
              <w:spacing w:line="500" w:lineRule="exact"/>
              <w:rPr>
                <w:color w:val="000000" w:themeColor="text1"/>
                <w:kern w:val="0"/>
                <w:szCs w:val="21"/>
              </w:rPr>
            </w:pPr>
            <w:r w:rsidRPr="008F4461">
              <w:rPr>
                <w:rFonts w:ascii="仿宋" w:eastAsia="仿宋" w:hAnsi="仿宋" w:hint="eastAsia"/>
                <w:color w:val="000000" w:themeColor="text1"/>
                <w:kern w:val="0"/>
                <w:sz w:val="30"/>
                <w:szCs w:val="30"/>
              </w:rPr>
              <w:t>第四款第3.1、3.4（获西华杯登峰计划结题证书）</w:t>
            </w:r>
            <w:r w:rsidRPr="004B196F">
              <w:rPr>
                <w:rFonts w:ascii="仿宋" w:eastAsia="仿宋" w:hAnsi="仿宋" w:hint="eastAsia"/>
                <w:color w:val="000000" w:themeColor="text1"/>
                <w:kern w:val="0"/>
                <w:sz w:val="30"/>
                <w:szCs w:val="30"/>
              </w:rPr>
              <w:t>、3.5条</w:t>
            </w:r>
          </w:p>
        </w:tc>
      </w:tr>
      <w:tr w:rsidR="0007463B" w:rsidRPr="004B196F" w:rsidTr="00222AFA">
        <w:trPr>
          <w:trHeight w:val="296"/>
          <w:jc w:val="center"/>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463B" w:rsidRPr="004B196F" w:rsidRDefault="0007463B" w:rsidP="00222AFA">
            <w:pPr>
              <w:widowControl/>
              <w:spacing w:line="315" w:lineRule="atLeast"/>
              <w:jc w:val="center"/>
              <w:rPr>
                <w:color w:val="000000" w:themeColor="text1"/>
                <w:kern w:val="0"/>
                <w:szCs w:val="21"/>
              </w:rPr>
            </w:pPr>
            <w:r w:rsidRPr="004B196F">
              <w:rPr>
                <w:rFonts w:ascii="仿宋" w:eastAsia="仿宋" w:hAnsi="仿宋" w:hint="eastAsia"/>
                <w:color w:val="000000" w:themeColor="text1"/>
                <w:kern w:val="0"/>
                <w:sz w:val="30"/>
                <w:szCs w:val="30"/>
              </w:rPr>
              <w:t>教务处</w:t>
            </w:r>
          </w:p>
        </w:tc>
        <w:tc>
          <w:tcPr>
            <w:tcW w:w="5902" w:type="dxa"/>
            <w:tcBorders>
              <w:top w:val="nil"/>
              <w:left w:val="nil"/>
              <w:bottom w:val="single" w:sz="8" w:space="0" w:color="auto"/>
              <w:right w:val="single" w:sz="8" w:space="0" w:color="auto"/>
            </w:tcBorders>
            <w:tcMar>
              <w:top w:w="0" w:type="dxa"/>
              <w:left w:w="108" w:type="dxa"/>
              <w:bottom w:w="0" w:type="dxa"/>
              <w:right w:w="108" w:type="dxa"/>
            </w:tcMar>
            <w:hideMark/>
          </w:tcPr>
          <w:p w:rsidR="0007463B" w:rsidRPr="004B196F" w:rsidRDefault="0007463B" w:rsidP="00141510">
            <w:pPr>
              <w:widowControl/>
              <w:spacing w:line="500" w:lineRule="exact"/>
              <w:rPr>
                <w:color w:val="000000" w:themeColor="text1"/>
                <w:kern w:val="0"/>
                <w:szCs w:val="21"/>
              </w:rPr>
            </w:pPr>
            <w:r w:rsidRPr="004B196F">
              <w:rPr>
                <w:rFonts w:ascii="仿宋" w:eastAsia="仿宋" w:hAnsi="仿宋" w:hint="eastAsia"/>
                <w:color w:val="000000" w:themeColor="text1"/>
                <w:kern w:val="0"/>
                <w:sz w:val="30"/>
                <w:szCs w:val="30"/>
              </w:rPr>
              <w:t>第三款第1、4、6、7条，第四款第2条，第3.6、3.7条</w:t>
            </w:r>
          </w:p>
        </w:tc>
      </w:tr>
      <w:tr w:rsidR="0007463B" w:rsidRPr="004B196F" w:rsidTr="00222AFA">
        <w:trPr>
          <w:trHeight w:val="146"/>
          <w:jc w:val="center"/>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463B" w:rsidRPr="004B196F" w:rsidRDefault="0007463B" w:rsidP="00222AFA">
            <w:pPr>
              <w:widowControl/>
              <w:spacing w:line="146" w:lineRule="atLeast"/>
              <w:jc w:val="center"/>
              <w:rPr>
                <w:color w:val="000000" w:themeColor="text1"/>
                <w:kern w:val="0"/>
                <w:szCs w:val="21"/>
              </w:rPr>
            </w:pPr>
            <w:r w:rsidRPr="004B196F">
              <w:rPr>
                <w:rFonts w:ascii="仿宋" w:eastAsia="仿宋" w:hAnsi="仿宋" w:hint="eastAsia"/>
                <w:color w:val="000000" w:themeColor="text1"/>
                <w:kern w:val="0"/>
                <w:sz w:val="30"/>
                <w:szCs w:val="30"/>
              </w:rPr>
              <w:t>科技处</w:t>
            </w:r>
          </w:p>
        </w:tc>
        <w:tc>
          <w:tcPr>
            <w:tcW w:w="5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463B" w:rsidRPr="008F4461" w:rsidRDefault="0007463B" w:rsidP="00141510">
            <w:pPr>
              <w:widowControl/>
              <w:spacing w:line="500" w:lineRule="exact"/>
              <w:jc w:val="left"/>
              <w:rPr>
                <w:rFonts w:ascii="仿宋" w:eastAsia="仿宋" w:hAnsi="仿宋"/>
                <w:color w:val="000000" w:themeColor="text1"/>
                <w:kern w:val="0"/>
                <w:sz w:val="30"/>
                <w:szCs w:val="30"/>
              </w:rPr>
            </w:pPr>
            <w:r w:rsidRPr="008F4461">
              <w:rPr>
                <w:rFonts w:ascii="仿宋" w:eastAsia="仿宋" w:hAnsi="仿宋" w:hint="eastAsia"/>
                <w:color w:val="000000" w:themeColor="text1"/>
                <w:kern w:val="0"/>
                <w:sz w:val="30"/>
                <w:szCs w:val="30"/>
              </w:rPr>
              <w:t>第四款第3.2、3.3、3.4（省部级以上</w:t>
            </w:r>
          </w:p>
          <w:p w:rsidR="0007463B" w:rsidRPr="007A21BC" w:rsidRDefault="0007463B" w:rsidP="00141510">
            <w:pPr>
              <w:widowControl/>
              <w:spacing w:line="500" w:lineRule="exact"/>
              <w:jc w:val="left"/>
              <w:rPr>
                <w:rFonts w:ascii="仿宋" w:eastAsia="仿宋" w:hAnsi="仿宋"/>
                <w:color w:val="000000" w:themeColor="text1"/>
                <w:kern w:val="0"/>
                <w:sz w:val="30"/>
                <w:szCs w:val="30"/>
              </w:rPr>
            </w:pPr>
            <w:r w:rsidRPr="008F4461">
              <w:rPr>
                <w:rFonts w:ascii="仿宋" w:eastAsia="仿宋" w:hAnsi="仿宋" w:hint="eastAsia"/>
                <w:color w:val="000000" w:themeColor="text1"/>
                <w:kern w:val="0"/>
                <w:sz w:val="30"/>
                <w:szCs w:val="30"/>
              </w:rPr>
              <w:t>政府科研成果奖励、市厅级政府科研成果奖励）条</w:t>
            </w:r>
          </w:p>
        </w:tc>
      </w:tr>
    </w:tbl>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5.确定推荐名单。学院将审核完毕的材料交学校推免生遴选工作领导小组办公室，办公室汇总后提交学校推免生遴选领导小组审定推荐名单和候补推荐名单，并报校务会审议。</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6.公示。学校将审定的推荐名单和候补推荐名单进行公示，公示期10个工作日，公示无异议的学生即取得推荐资格或候补推荐资格。对有异议的学生，由学校推免生遴选工作领导小组查明情况，公布处理结果。</w:t>
      </w:r>
    </w:p>
    <w:p w:rsidR="0007463B" w:rsidRPr="0007463B" w:rsidRDefault="0007463B" w:rsidP="00141510">
      <w:pPr>
        <w:widowControl/>
        <w:spacing w:line="560" w:lineRule="exact"/>
        <w:ind w:firstLineChars="200" w:firstLine="640"/>
        <w:rPr>
          <w:color w:val="000000" w:themeColor="text1"/>
          <w:kern w:val="0"/>
          <w:sz w:val="32"/>
          <w:szCs w:val="32"/>
        </w:rPr>
      </w:pPr>
      <w:r w:rsidRPr="0007463B">
        <w:rPr>
          <w:rFonts w:ascii="仿宋" w:eastAsia="仿宋" w:hAnsi="仿宋" w:hint="eastAsia"/>
          <w:color w:val="000000" w:themeColor="text1"/>
          <w:kern w:val="0"/>
          <w:sz w:val="32"/>
          <w:szCs w:val="32"/>
        </w:rPr>
        <w:t>7.若取得推荐资格的学生在规定时间内自愿放弃推荐资格，所占名额由候补推荐资格的学生按排名顺序依次替补。</w:t>
      </w:r>
    </w:p>
    <w:p w:rsidR="0007463B" w:rsidRPr="0007463B" w:rsidRDefault="0007463B" w:rsidP="00141510">
      <w:pPr>
        <w:widowControl/>
        <w:spacing w:line="560" w:lineRule="exact"/>
        <w:ind w:firstLineChars="200" w:firstLine="640"/>
        <w:rPr>
          <w:rFonts w:ascii="黑体" w:eastAsia="黑体" w:hAnsi="黑体"/>
          <w:bCs/>
          <w:color w:val="000000" w:themeColor="text1"/>
          <w:kern w:val="0"/>
          <w:sz w:val="32"/>
          <w:szCs w:val="32"/>
        </w:rPr>
      </w:pPr>
      <w:r w:rsidRPr="0007463B">
        <w:rPr>
          <w:rFonts w:ascii="黑体" w:eastAsia="黑体" w:hAnsi="黑体" w:hint="eastAsia"/>
          <w:bCs/>
          <w:color w:val="000000" w:themeColor="text1"/>
          <w:kern w:val="0"/>
          <w:sz w:val="32"/>
          <w:szCs w:val="32"/>
        </w:rPr>
        <w:t>六、推荐名额</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学校根据教育部下达的名额数，按下列原则将名额分配到各学院：</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1.由学校推免生遴选工作领导小组研究确定西华学院和高水平运动队的应届本科毕业生推荐名额数</w:t>
      </w:r>
      <w:r w:rsidR="004B4ED3">
        <w:rPr>
          <w:rFonts w:ascii="仿宋" w:eastAsia="仿宋" w:hAnsi="仿宋" w:hint="eastAsia"/>
          <w:color w:val="000000" w:themeColor="text1"/>
          <w:kern w:val="0"/>
          <w:sz w:val="32"/>
          <w:szCs w:val="32"/>
        </w:rPr>
        <w:t>。</w:t>
      </w:r>
      <w:r w:rsidRPr="0007463B">
        <w:rPr>
          <w:rFonts w:ascii="仿宋" w:eastAsia="仿宋" w:hAnsi="仿宋"/>
          <w:color w:val="000000" w:themeColor="text1"/>
          <w:kern w:val="0"/>
          <w:sz w:val="32"/>
          <w:szCs w:val="32"/>
        </w:rPr>
        <w:t xml:space="preserve"> </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2.将教育部下达的名额数，扣除西华学院和高水平运动队推荐名额数后，作为100%，再按下列原则进行名额分配</w:t>
      </w:r>
      <w:r w:rsidR="004B4ED3">
        <w:rPr>
          <w:rFonts w:ascii="仿宋" w:eastAsia="仿宋" w:hAnsi="仿宋" w:hint="eastAsia"/>
          <w:color w:val="000000" w:themeColor="text1"/>
          <w:kern w:val="0"/>
          <w:sz w:val="32"/>
          <w:szCs w:val="32"/>
        </w:rPr>
        <w:t>。</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2.1名额数的80%按纳入国家普通本科招生计划录取的本校应届本科毕业生（不含专升本、第二学士学位、独立学院、西华学院和高水平运动队学生）人数分配到各学院；高端技术技能型本科各合作单位的应届本科毕业生纳入西华大学本校对应学院对应专业人数中进行推荐。</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2.2名额数的20%按学位点情况分配到各学院</w:t>
      </w:r>
      <w:r w:rsidR="004B4ED3">
        <w:rPr>
          <w:rFonts w:ascii="仿宋" w:eastAsia="仿宋" w:hAnsi="仿宋" w:hint="eastAsia"/>
          <w:color w:val="000000" w:themeColor="text1"/>
          <w:kern w:val="0"/>
          <w:sz w:val="32"/>
          <w:szCs w:val="32"/>
        </w:rPr>
        <w:t>。</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2.3分配到各学院的推荐名额，再由各学院进行相关本科专业名额分配。</w:t>
      </w:r>
    </w:p>
    <w:p w:rsidR="0007463B" w:rsidRPr="0007463B" w:rsidRDefault="0007463B" w:rsidP="00141510">
      <w:pPr>
        <w:widowControl/>
        <w:spacing w:line="560" w:lineRule="exact"/>
        <w:ind w:firstLineChars="200" w:firstLine="640"/>
        <w:rPr>
          <w:rFonts w:ascii="黑体" w:eastAsia="黑体" w:hAnsi="黑体"/>
          <w:bCs/>
          <w:color w:val="000000" w:themeColor="text1"/>
          <w:kern w:val="0"/>
          <w:sz w:val="32"/>
          <w:szCs w:val="32"/>
        </w:rPr>
      </w:pPr>
      <w:r w:rsidRPr="0007463B">
        <w:rPr>
          <w:rFonts w:ascii="黑体" w:eastAsia="黑体" w:hAnsi="黑体" w:hint="eastAsia"/>
          <w:bCs/>
          <w:color w:val="000000" w:themeColor="text1"/>
          <w:kern w:val="0"/>
          <w:sz w:val="32"/>
          <w:szCs w:val="32"/>
        </w:rPr>
        <w:t>七、取消推免生资格</w:t>
      </w:r>
    </w:p>
    <w:p w:rsidR="0007463B" w:rsidRPr="004B196F" w:rsidRDefault="0007463B" w:rsidP="00141510">
      <w:pPr>
        <w:widowControl/>
        <w:spacing w:line="560" w:lineRule="exact"/>
        <w:ind w:firstLineChars="200" w:firstLine="640"/>
        <w:rPr>
          <w:color w:val="000000" w:themeColor="text1"/>
          <w:kern w:val="0"/>
          <w:szCs w:val="21"/>
        </w:rPr>
      </w:pPr>
      <w:r w:rsidRPr="0007463B">
        <w:rPr>
          <w:rFonts w:ascii="仿宋" w:eastAsia="仿宋" w:hAnsi="仿宋" w:hint="eastAsia"/>
          <w:color w:val="000000" w:themeColor="text1"/>
          <w:kern w:val="0"/>
          <w:sz w:val="32"/>
          <w:szCs w:val="32"/>
        </w:rPr>
        <w:t>在申请过程中弄虚作假者，一经查实，即取消推免生资格。</w:t>
      </w:r>
    </w:p>
    <w:p w:rsidR="0007463B" w:rsidRPr="0007463B" w:rsidRDefault="0007463B" w:rsidP="00141510">
      <w:pPr>
        <w:widowControl/>
        <w:spacing w:line="560" w:lineRule="exact"/>
        <w:ind w:firstLineChars="200" w:firstLine="640"/>
        <w:rPr>
          <w:rFonts w:ascii="黑体" w:eastAsia="黑体" w:hAnsi="黑体"/>
          <w:bCs/>
          <w:color w:val="000000" w:themeColor="text1"/>
          <w:kern w:val="0"/>
          <w:sz w:val="32"/>
          <w:szCs w:val="32"/>
        </w:rPr>
      </w:pPr>
      <w:r w:rsidRPr="0007463B">
        <w:rPr>
          <w:rFonts w:ascii="黑体" w:eastAsia="黑体" w:hAnsi="黑体" w:hint="eastAsia"/>
          <w:bCs/>
          <w:color w:val="000000" w:themeColor="text1"/>
          <w:kern w:val="0"/>
          <w:sz w:val="32"/>
          <w:szCs w:val="32"/>
        </w:rPr>
        <w:t>八、其它</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1.本办法所称免试，是指普通高校应届本科毕业生不必经过全国硕士研究生入学统一考试的初试，直接进入复试；本办法所称推荐，是指普通高等学校按规定对本校优秀应届本科毕业生进行遴选，确认其免初试资格并向招生单位推荐；本办法所称接收，是指招生单位对报考本单位的具有免初试资格的考生进行的复试和录取。</w:t>
      </w:r>
    </w:p>
    <w:p w:rsidR="0007463B"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2.已录取的推免生不参加本科毕业分配。</w:t>
      </w:r>
    </w:p>
    <w:p w:rsidR="002C0945" w:rsidRPr="0007463B" w:rsidRDefault="0007463B" w:rsidP="00141510">
      <w:pPr>
        <w:widowControl/>
        <w:spacing w:line="560" w:lineRule="exact"/>
        <w:ind w:firstLineChars="200" w:firstLine="640"/>
        <w:rPr>
          <w:rFonts w:ascii="仿宋" w:eastAsia="仿宋" w:hAnsi="仿宋"/>
          <w:color w:val="000000" w:themeColor="text1"/>
          <w:kern w:val="0"/>
          <w:sz w:val="32"/>
          <w:szCs w:val="32"/>
        </w:rPr>
      </w:pPr>
      <w:r w:rsidRPr="0007463B">
        <w:rPr>
          <w:rFonts w:ascii="仿宋" w:eastAsia="仿宋" w:hAnsi="仿宋" w:hint="eastAsia"/>
          <w:color w:val="000000" w:themeColor="text1"/>
          <w:kern w:val="0"/>
          <w:sz w:val="32"/>
          <w:szCs w:val="32"/>
        </w:rPr>
        <w:t>3.本办法从2022届毕业生起实施，原西华行字〔2015〕6号文件“关于印发《</w:t>
      </w:r>
      <w:r w:rsidRPr="0007463B">
        <w:rPr>
          <w:rFonts w:ascii="仿宋" w:eastAsia="仿宋" w:hAnsi="仿宋"/>
          <w:color w:val="000000" w:themeColor="text1"/>
          <w:kern w:val="0"/>
          <w:sz w:val="32"/>
          <w:szCs w:val="32"/>
        </w:rPr>
        <w:t>西华大学推荐优秀应届本科毕业生免试攻读硕士研究生</w:t>
      </w:r>
      <w:r w:rsidRPr="0007463B">
        <w:rPr>
          <w:rFonts w:ascii="仿宋" w:eastAsia="仿宋" w:hAnsi="仿宋" w:hint="eastAsia"/>
          <w:color w:val="000000" w:themeColor="text1"/>
          <w:kern w:val="0"/>
          <w:sz w:val="32"/>
          <w:szCs w:val="32"/>
        </w:rPr>
        <w:t>工作实施</w:t>
      </w:r>
      <w:r w:rsidRPr="0007463B">
        <w:rPr>
          <w:rFonts w:ascii="仿宋" w:eastAsia="仿宋" w:hAnsi="仿宋"/>
          <w:color w:val="000000" w:themeColor="text1"/>
          <w:kern w:val="0"/>
          <w:sz w:val="32"/>
          <w:szCs w:val="32"/>
        </w:rPr>
        <w:t>办法</w:t>
      </w:r>
      <w:r w:rsidRPr="0007463B">
        <w:rPr>
          <w:rFonts w:ascii="仿宋" w:eastAsia="仿宋" w:hAnsi="仿宋" w:hint="eastAsia"/>
          <w:color w:val="000000" w:themeColor="text1"/>
          <w:kern w:val="0"/>
          <w:sz w:val="32"/>
          <w:szCs w:val="32"/>
        </w:rPr>
        <w:t>（修订）》的通知”及西华行字〔2017〕147号文件“关于对《</w:t>
      </w:r>
      <w:r w:rsidRPr="0007463B">
        <w:rPr>
          <w:rFonts w:ascii="仿宋" w:eastAsia="仿宋" w:hAnsi="仿宋"/>
          <w:color w:val="000000" w:themeColor="text1"/>
          <w:kern w:val="0"/>
          <w:sz w:val="32"/>
          <w:szCs w:val="32"/>
        </w:rPr>
        <w:t>西华大学推荐优秀应届本科毕业生免试攻读硕士研究生</w:t>
      </w:r>
      <w:r w:rsidRPr="0007463B">
        <w:rPr>
          <w:rFonts w:ascii="仿宋" w:eastAsia="仿宋" w:hAnsi="仿宋" w:hint="eastAsia"/>
          <w:color w:val="000000" w:themeColor="text1"/>
          <w:kern w:val="0"/>
          <w:sz w:val="32"/>
          <w:szCs w:val="32"/>
        </w:rPr>
        <w:t>工作实施</w:t>
      </w:r>
      <w:r w:rsidRPr="0007463B">
        <w:rPr>
          <w:rFonts w:ascii="仿宋" w:eastAsia="仿宋" w:hAnsi="仿宋"/>
          <w:color w:val="000000" w:themeColor="text1"/>
          <w:kern w:val="0"/>
          <w:sz w:val="32"/>
          <w:szCs w:val="32"/>
        </w:rPr>
        <w:t>办法</w:t>
      </w:r>
      <w:r w:rsidR="004B4ED3">
        <w:rPr>
          <w:rFonts w:ascii="仿宋" w:eastAsia="仿宋" w:hAnsi="仿宋" w:hint="eastAsia"/>
          <w:color w:val="000000" w:themeColor="text1"/>
          <w:kern w:val="0"/>
          <w:sz w:val="32"/>
          <w:szCs w:val="32"/>
        </w:rPr>
        <w:t>（</w:t>
      </w:r>
      <w:r w:rsidRPr="0007463B">
        <w:rPr>
          <w:rFonts w:ascii="仿宋" w:eastAsia="仿宋" w:hAnsi="仿宋" w:hint="eastAsia"/>
          <w:color w:val="000000" w:themeColor="text1"/>
          <w:kern w:val="0"/>
          <w:sz w:val="32"/>
          <w:szCs w:val="32"/>
        </w:rPr>
        <w:t>修订</w:t>
      </w:r>
      <w:r w:rsidR="004B4ED3" w:rsidRPr="004B4ED3">
        <w:rPr>
          <w:rFonts w:ascii="仿宋" w:eastAsia="仿宋" w:hAnsi="仿宋" w:hint="eastAsia"/>
          <w:color w:val="000000"/>
          <w:kern w:val="0"/>
          <w:sz w:val="32"/>
          <w:szCs w:val="32"/>
        </w:rPr>
        <w:t>）</w:t>
      </w:r>
      <w:r w:rsidRPr="0007463B">
        <w:rPr>
          <w:rFonts w:ascii="仿宋" w:eastAsia="仿宋" w:hAnsi="仿宋" w:hint="eastAsia"/>
          <w:color w:val="000000" w:themeColor="text1"/>
          <w:kern w:val="0"/>
          <w:sz w:val="32"/>
          <w:szCs w:val="32"/>
        </w:rPr>
        <w:t>》进行修订的通知”同时废止。本办法由学生工作部（处）、团委、教务处、科技处、研究生部负责对各部门审核内容进行解释。</w:t>
      </w:r>
    </w:p>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rsidTr="002C0945">
        <w:trPr>
          <w:trHeight w:val="559"/>
        </w:trPr>
        <w:tc>
          <w:tcPr>
            <w:tcW w:w="4530" w:type="dxa"/>
            <w:shd w:val="clear" w:color="auto" w:fill="auto"/>
            <w:vAlign w:val="bottom"/>
          </w:tcPr>
          <w:p w:rsidR="002C0945" w:rsidRPr="002B7AA6" w:rsidRDefault="002C0945" w:rsidP="0007463B">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rsidR="002C0945" w:rsidRPr="002B7AA6" w:rsidRDefault="002C0945" w:rsidP="0007463B">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2B7AA6">
              <w:rPr>
                <w:rFonts w:ascii="仿宋" w:eastAsia="仿宋" w:hAnsi="仿宋"/>
                <w:sz w:val="32"/>
                <w:szCs w:val="32"/>
              </w:rPr>
              <w:t>1</w:t>
            </w:r>
            <w:r w:rsidR="0007463B">
              <w:rPr>
                <w:rFonts w:ascii="仿宋" w:eastAsia="仿宋" w:hAnsi="仿宋" w:hint="eastAsia"/>
                <w:sz w:val="32"/>
                <w:szCs w:val="32"/>
              </w:rPr>
              <w:t>9</w:t>
            </w:r>
            <w:r w:rsidRPr="002B7AA6">
              <w:rPr>
                <w:rFonts w:ascii="仿宋" w:eastAsia="仿宋" w:hAnsi="仿宋" w:hint="eastAsia"/>
                <w:sz w:val="32"/>
                <w:szCs w:val="32"/>
              </w:rPr>
              <w:t>年</w:t>
            </w:r>
            <w:r w:rsidR="0007463B">
              <w:rPr>
                <w:rFonts w:ascii="仿宋" w:eastAsia="仿宋" w:hAnsi="仿宋" w:hint="eastAsia"/>
                <w:sz w:val="32"/>
                <w:szCs w:val="32"/>
              </w:rPr>
              <w:t>7</w:t>
            </w:r>
            <w:r w:rsidRPr="002B7AA6">
              <w:rPr>
                <w:rFonts w:ascii="仿宋" w:eastAsia="仿宋" w:hAnsi="仿宋" w:hint="eastAsia"/>
                <w:sz w:val="32"/>
                <w:szCs w:val="32"/>
              </w:rPr>
              <w:t>月</w:t>
            </w:r>
            <w:r w:rsidR="0007463B">
              <w:rPr>
                <w:rFonts w:ascii="仿宋" w:eastAsia="仿宋" w:hAnsi="仿宋" w:hint="eastAsia"/>
                <w:sz w:val="32"/>
                <w:szCs w:val="32"/>
              </w:rPr>
              <w:t>12</w:t>
            </w:r>
            <w:r w:rsidRPr="002B7AA6">
              <w:rPr>
                <w:rFonts w:ascii="仿宋" w:eastAsia="仿宋" w:hAnsi="仿宋" w:hint="eastAsia"/>
                <w:sz w:val="32"/>
                <w:szCs w:val="32"/>
              </w:rPr>
              <w:t>日印</w:t>
            </w:r>
          </w:p>
        </w:tc>
      </w:tr>
      <w:tr w:rsidR="002C0945" w:rsidTr="002C0945">
        <w:trPr>
          <w:trHeight w:val="113"/>
        </w:trPr>
        <w:tc>
          <w:tcPr>
            <w:tcW w:w="9060" w:type="dxa"/>
            <w:gridSpan w:val="2"/>
            <w:shd w:val="clear" w:color="auto" w:fill="auto"/>
            <w:vAlign w:val="bottom"/>
          </w:tcPr>
          <w:p w:rsidR="002C0945" w:rsidRPr="002B7AA6" w:rsidRDefault="002C0945" w:rsidP="0007463B">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07463B">
              <w:rPr>
                <w:rFonts w:ascii="仿宋" w:eastAsia="仿宋" w:hAnsi="仿宋" w:hint="eastAsia"/>
                <w:sz w:val="32"/>
                <w:szCs w:val="32"/>
              </w:rPr>
              <w:t>石婷</w:t>
            </w:r>
          </w:p>
        </w:tc>
      </w:tr>
    </w:tbl>
    <w:p w:rsidR="002C0945" w:rsidRDefault="002C0945"/>
    <w:sectPr w:rsidR="002C0945" w:rsidSect="0007463B">
      <w:headerReference w:type="default" r:id="rId8"/>
      <w:footerReference w:type="even" r:id="rId9"/>
      <w:footerReference w:type="default" r:id="rId10"/>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34" w:rsidRDefault="00FF4F34">
      <w:r>
        <w:separator/>
      </w:r>
    </w:p>
  </w:endnote>
  <w:endnote w:type="continuationSeparator" w:id="0">
    <w:p w:rsidR="00FF4F34" w:rsidRDefault="00FF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59" w:rsidRDefault="0007463B" w:rsidP="0007463B">
    <w:pPr>
      <w:pStyle w:val="a4"/>
    </w:pPr>
    <w:r w:rsidRPr="0007463B">
      <w:rPr>
        <w:rFonts w:asciiTheme="minorEastAsia" w:eastAsiaTheme="minorEastAsia" w:hAnsiTheme="minorEastAsia"/>
        <w:sz w:val="28"/>
        <w:szCs w:val="28"/>
      </w:rPr>
      <w:fldChar w:fldCharType="begin"/>
    </w:r>
    <w:r w:rsidRPr="0007463B">
      <w:rPr>
        <w:rFonts w:asciiTheme="minorEastAsia" w:eastAsiaTheme="minorEastAsia" w:hAnsiTheme="minorEastAsia"/>
        <w:sz w:val="28"/>
        <w:szCs w:val="28"/>
      </w:rPr>
      <w:instrText>PAGE   \* MERGEFORMAT</w:instrText>
    </w:r>
    <w:r w:rsidRPr="0007463B">
      <w:rPr>
        <w:rFonts w:asciiTheme="minorEastAsia" w:eastAsiaTheme="minorEastAsia" w:hAnsiTheme="minorEastAsia"/>
        <w:sz w:val="28"/>
        <w:szCs w:val="28"/>
      </w:rPr>
      <w:fldChar w:fldCharType="separate"/>
    </w:r>
    <w:r w:rsidR="007016F8" w:rsidRPr="007016F8">
      <w:rPr>
        <w:rFonts w:asciiTheme="minorEastAsia" w:eastAsiaTheme="minorEastAsia" w:hAnsiTheme="minorEastAsia"/>
        <w:noProof/>
        <w:sz w:val="28"/>
        <w:szCs w:val="28"/>
        <w:lang w:val="zh-CN"/>
      </w:rPr>
      <w:t>-</w:t>
    </w:r>
    <w:r w:rsidR="007016F8">
      <w:rPr>
        <w:rFonts w:asciiTheme="minorEastAsia" w:eastAsiaTheme="minorEastAsia" w:hAnsiTheme="minorEastAsia"/>
        <w:noProof/>
        <w:sz w:val="28"/>
        <w:szCs w:val="28"/>
      </w:rPr>
      <w:t xml:space="preserve"> 2 -</w:t>
    </w:r>
    <w:r w:rsidRPr="0007463B">
      <w:rPr>
        <w:rFonts w:asciiTheme="minorEastAsia" w:eastAsiaTheme="minorEastAsia" w:hAnsi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59" w:rsidRDefault="002C0945" w:rsidP="0007463B">
    <w:pPr>
      <w:pStyle w:val="a4"/>
      <w:jc w:val="right"/>
    </w:pPr>
    <w:r w:rsidRPr="0007463B">
      <w:rPr>
        <w:rFonts w:asciiTheme="minorEastAsia" w:eastAsiaTheme="minorEastAsia" w:hAnsiTheme="minorEastAsia"/>
        <w:sz w:val="28"/>
        <w:szCs w:val="28"/>
      </w:rPr>
      <w:fldChar w:fldCharType="begin"/>
    </w:r>
    <w:r w:rsidRPr="0007463B">
      <w:rPr>
        <w:rFonts w:asciiTheme="minorEastAsia" w:eastAsiaTheme="minorEastAsia" w:hAnsiTheme="minorEastAsia"/>
        <w:sz w:val="28"/>
        <w:szCs w:val="28"/>
      </w:rPr>
      <w:instrText>PAGE   \* MERGEFORMAT</w:instrText>
    </w:r>
    <w:r w:rsidRPr="0007463B">
      <w:rPr>
        <w:rFonts w:asciiTheme="minorEastAsia" w:eastAsiaTheme="minorEastAsia" w:hAnsiTheme="minorEastAsia"/>
        <w:sz w:val="28"/>
        <w:szCs w:val="28"/>
      </w:rPr>
      <w:fldChar w:fldCharType="separate"/>
    </w:r>
    <w:r w:rsidR="007016F8" w:rsidRPr="007016F8">
      <w:rPr>
        <w:rFonts w:asciiTheme="minorEastAsia" w:eastAsiaTheme="minorEastAsia" w:hAnsiTheme="minorEastAsia"/>
        <w:noProof/>
        <w:sz w:val="28"/>
        <w:szCs w:val="28"/>
        <w:lang w:val="zh-CN"/>
      </w:rPr>
      <w:t>-</w:t>
    </w:r>
    <w:r w:rsidR="007016F8">
      <w:rPr>
        <w:rFonts w:asciiTheme="minorEastAsia" w:eastAsiaTheme="minorEastAsia" w:hAnsiTheme="minorEastAsia"/>
        <w:noProof/>
        <w:sz w:val="28"/>
        <w:szCs w:val="28"/>
      </w:rPr>
      <w:t xml:space="preserve"> 1 -</w:t>
    </w:r>
    <w:r w:rsidRPr="0007463B">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34" w:rsidRDefault="00FF4F34">
      <w:r>
        <w:separator/>
      </w:r>
    </w:p>
  </w:footnote>
  <w:footnote w:type="continuationSeparator" w:id="0">
    <w:p w:rsidR="00FF4F34" w:rsidRDefault="00FF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7DC"/>
    <w:rsid w:val="00005840"/>
    <w:rsid w:val="00045AD6"/>
    <w:rsid w:val="0006302D"/>
    <w:rsid w:val="0007463B"/>
    <w:rsid w:val="000858A4"/>
    <w:rsid w:val="000A5DC3"/>
    <w:rsid w:val="000F7320"/>
    <w:rsid w:val="00100875"/>
    <w:rsid w:val="00105F5F"/>
    <w:rsid w:val="00141510"/>
    <w:rsid w:val="001524A5"/>
    <w:rsid w:val="00167291"/>
    <w:rsid w:val="00184910"/>
    <w:rsid w:val="001D1306"/>
    <w:rsid w:val="001F368B"/>
    <w:rsid w:val="00232659"/>
    <w:rsid w:val="00243D47"/>
    <w:rsid w:val="002B0824"/>
    <w:rsid w:val="002B7AA6"/>
    <w:rsid w:val="002C0945"/>
    <w:rsid w:val="003471FD"/>
    <w:rsid w:val="003D669E"/>
    <w:rsid w:val="00404F67"/>
    <w:rsid w:val="004332E0"/>
    <w:rsid w:val="004B0378"/>
    <w:rsid w:val="004B4ED3"/>
    <w:rsid w:val="00541284"/>
    <w:rsid w:val="006B5C44"/>
    <w:rsid w:val="006E784B"/>
    <w:rsid w:val="007016F8"/>
    <w:rsid w:val="007306FE"/>
    <w:rsid w:val="007F3400"/>
    <w:rsid w:val="00803D9E"/>
    <w:rsid w:val="00897169"/>
    <w:rsid w:val="008A2AE9"/>
    <w:rsid w:val="008B0B53"/>
    <w:rsid w:val="008B7CA8"/>
    <w:rsid w:val="008C0B38"/>
    <w:rsid w:val="009277DC"/>
    <w:rsid w:val="0094410D"/>
    <w:rsid w:val="00992B11"/>
    <w:rsid w:val="009A3350"/>
    <w:rsid w:val="00A10E77"/>
    <w:rsid w:val="00A775AB"/>
    <w:rsid w:val="00A912E2"/>
    <w:rsid w:val="00AA67FC"/>
    <w:rsid w:val="00AB7531"/>
    <w:rsid w:val="00AD369E"/>
    <w:rsid w:val="00AE754F"/>
    <w:rsid w:val="00BE1749"/>
    <w:rsid w:val="00BE59F9"/>
    <w:rsid w:val="00C36F59"/>
    <w:rsid w:val="00C41EB5"/>
    <w:rsid w:val="00C86E8D"/>
    <w:rsid w:val="00C94199"/>
    <w:rsid w:val="00C970ED"/>
    <w:rsid w:val="00D209E6"/>
    <w:rsid w:val="00D35019"/>
    <w:rsid w:val="00D407A1"/>
    <w:rsid w:val="00D52850"/>
    <w:rsid w:val="00E5730D"/>
    <w:rsid w:val="00EB709D"/>
    <w:rsid w:val="00EF7E4D"/>
    <w:rsid w:val="00F03214"/>
    <w:rsid w:val="00F514DB"/>
    <w:rsid w:val="00F94942"/>
    <w:rsid w:val="00FF4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5">
    <w:name w:val="page number"/>
    <w:basedOn w:val="a0"/>
    <w:rsid w:val="00D209E6"/>
  </w:style>
  <w:style w:type="character" w:customStyle="1" w:styleId="Char">
    <w:name w:val="页脚 Char"/>
    <w:link w:val="a4"/>
    <w:uiPriority w:val="99"/>
    <w:rsid w:val="002C0945"/>
    <w:rPr>
      <w:kern w:val="2"/>
      <w:sz w:val="18"/>
      <w:szCs w:val="18"/>
    </w:rPr>
  </w:style>
  <w:style w:type="paragraph" w:styleId="a6">
    <w:name w:val="Balloon Text"/>
    <w:basedOn w:val="a"/>
    <w:link w:val="Char0"/>
    <w:rsid w:val="004B4ED3"/>
    <w:rPr>
      <w:sz w:val="18"/>
      <w:szCs w:val="18"/>
    </w:rPr>
  </w:style>
  <w:style w:type="character" w:customStyle="1" w:styleId="Char0">
    <w:name w:val="批注框文本 Char"/>
    <w:basedOn w:val="a0"/>
    <w:link w:val="a6"/>
    <w:rsid w:val="004B4ED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石婷</cp:lastModifiedBy>
  <cp:revision>1</cp:revision>
  <cp:lastPrinted>2014-02-26T08:47:00Z</cp:lastPrinted>
  <dcterms:created xsi:type="dcterms:W3CDTF">2019-09-05T01:21:00Z</dcterms:created>
  <dcterms:modified xsi:type="dcterms:W3CDTF">2019-09-05T01:21:00Z</dcterms:modified>
</cp:coreProperties>
</file>