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5530" w14:textId="77777777" w:rsidR="006C2E21" w:rsidRPr="006C2E21" w:rsidRDefault="006C2E21" w:rsidP="006C2E21">
      <w:pPr>
        <w:widowControl/>
        <w:spacing w:line="675" w:lineRule="atLeast"/>
        <w:jc w:val="center"/>
        <w:outlineLvl w:val="0"/>
        <w:rPr>
          <w:rFonts w:ascii="微软雅黑" w:eastAsia="微软雅黑" w:hAnsi="微软雅黑" w:cs="宋体"/>
          <w:b/>
          <w:bCs/>
          <w:color w:val="333333"/>
          <w:kern w:val="36"/>
          <w:sz w:val="38"/>
          <w:szCs w:val="38"/>
        </w:rPr>
      </w:pPr>
      <w:r w:rsidRPr="006C2E21">
        <w:rPr>
          <w:rFonts w:ascii="微软雅黑" w:eastAsia="微软雅黑" w:hAnsi="微软雅黑" w:cs="宋体" w:hint="eastAsia"/>
          <w:b/>
          <w:bCs/>
          <w:color w:val="333333"/>
          <w:kern w:val="36"/>
          <w:sz w:val="38"/>
          <w:szCs w:val="38"/>
        </w:rPr>
        <w:t>教育部等八部门关于加快构建高校思想政治工作体系的意见（教思政〔2020〕1号）</w:t>
      </w:r>
    </w:p>
    <w:p w14:paraId="3AE9F74B" w14:textId="77777777" w:rsidR="006C2E21" w:rsidRPr="006C2E21" w:rsidRDefault="006C2E21" w:rsidP="006C2E21">
      <w:pPr>
        <w:widowControl/>
        <w:shd w:val="clear" w:color="auto" w:fill="F1F1F1"/>
        <w:spacing w:line="450" w:lineRule="atLeast"/>
        <w:ind w:left="255" w:right="60"/>
        <w:jc w:val="center"/>
        <w:rPr>
          <w:rFonts w:ascii="微软雅黑" w:eastAsia="微软雅黑" w:hAnsi="微软雅黑" w:cs="宋体" w:hint="eastAsia"/>
          <w:color w:val="969696"/>
          <w:kern w:val="0"/>
          <w:szCs w:val="21"/>
        </w:rPr>
      </w:pPr>
      <w:hyperlink r:id="rId4" w:history="1">
        <w:r w:rsidRPr="006C2E21">
          <w:rPr>
            <w:rFonts w:ascii="微软雅黑" w:eastAsia="微软雅黑" w:hAnsi="微软雅黑" w:cs="宋体" w:hint="eastAsia"/>
            <w:color w:val="969696"/>
            <w:kern w:val="0"/>
            <w:szCs w:val="21"/>
            <w:u w:val="single"/>
          </w:rPr>
          <w:t>[四川省教育厅]</w:t>
        </w:r>
      </w:hyperlink>
      <w:r w:rsidRPr="006C2E21">
        <w:rPr>
          <w:rFonts w:ascii="微软雅黑" w:eastAsia="微软雅黑" w:hAnsi="微软雅黑" w:cs="宋体" w:hint="eastAsia"/>
          <w:color w:val="969696"/>
          <w:kern w:val="0"/>
          <w:szCs w:val="21"/>
        </w:rPr>
        <w:t> 发布时间：2020-04-30 11:07 来源:教育部 分享：</w:t>
      </w:r>
    </w:p>
    <w:p w14:paraId="3CC0BE74" w14:textId="77777777" w:rsidR="006C2E21" w:rsidRPr="006C2E21" w:rsidRDefault="006C2E21" w:rsidP="006C2E21">
      <w:pPr>
        <w:widowControl/>
        <w:shd w:val="clear" w:color="auto" w:fill="F1F1F1"/>
        <w:spacing w:line="450" w:lineRule="atLeast"/>
        <w:ind w:left="405" w:right="60"/>
        <w:jc w:val="center"/>
        <w:rPr>
          <w:rFonts w:ascii="微软雅黑" w:eastAsia="微软雅黑" w:hAnsi="微软雅黑" w:cs="宋体" w:hint="eastAsia"/>
          <w:color w:val="969696"/>
          <w:kern w:val="0"/>
          <w:szCs w:val="21"/>
        </w:rPr>
      </w:pPr>
      <w:r w:rsidRPr="006C2E21">
        <w:rPr>
          <w:rFonts w:ascii="微软雅黑" w:eastAsia="微软雅黑" w:hAnsi="微软雅黑" w:cs="宋体" w:hint="eastAsia"/>
          <w:color w:val="969696"/>
          <w:kern w:val="0"/>
          <w:szCs w:val="21"/>
        </w:rPr>
        <w:t>  </w:t>
      </w:r>
    </w:p>
    <w:p w14:paraId="4957498C" w14:textId="77777777" w:rsidR="006C2E21" w:rsidRPr="006C2E21" w:rsidRDefault="006C2E21" w:rsidP="006C2E21">
      <w:pPr>
        <w:widowControl/>
        <w:spacing w:line="480" w:lineRule="auto"/>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14:paraId="34AD5ECB"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14:paraId="7A1A70E7"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一、指导思想和目标任务</w:t>
      </w:r>
    </w:p>
    <w:p w14:paraId="636A41FB"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14:paraId="7E7221F5"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目标任务。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14:paraId="7B8DA3CB"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lastRenderedPageBreak/>
        <w:t>二、理论武装体系</w:t>
      </w:r>
    </w:p>
    <w:p w14:paraId="03D1A341"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3.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14:paraId="1C709582"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4.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14:paraId="26246C1A"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5.强化价值引导。研究制定体现社会主义核心价值观要求的师生行为规范，组织国家勋章和国家荣誉称号获得者、最美奋斗者、改革先锋、时代楷模等新时代先进人物走进高校，面向广大师生开展思想政治教育。开展教书育人楷模、思政课教师年度人物、高校辅导员年度人物、大学生年度人物等先进典型的宣传选树。</w:t>
      </w:r>
    </w:p>
    <w:p w14:paraId="5E53ED0C"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三、学科教学体系</w:t>
      </w:r>
    </w:p>
    <w:p w14:paraId="54B9C9C3"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6.办好思想政治理论课。按照“八个相统一”要求，扎实推进思想政治理论课建设思路创优、师资创优、教材创优、教法创优、机制创优、环境创优。遴选</w:t>
      </w:r>
      <w:r w:rsidRPr="006C2E21">
        <w:rPr>
          <w:rFonts w:ascii="微软雅黑" w:eastAsia="微软雅黑" w:hAnsi="微软雅黑" w:cs="宋体" w:hint="eastAsia"/>
          <w:color w:val="000000"/>
          <w:kern w:val="0"/>
          <w:sz w:val="24"/>
          <w:szCs w:val="24"/>
        </w:rPr>
        <w:lastRenderedPageBreak/>
        <w:t>名师大师参与思想政治理论课讲授。把新媒体新技术引入高校思想政治理论课教学，打造高校思想政治理论课资源平台和网络集体备课平台。</w:t>
      </w:r>
    </w:p>
    <w:p w14:paraId="767E26F6"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7.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14:paraId="60A9A580"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8.全面推进所有学科课程思政建设。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14:paraId="673EFC56"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9.充分发挥科研育人功能。构建集教育、预防、监督、惩治于一体的学术诚信体系。提高研究生导师开展思想政治教育意识和能力。持续开展全国科学道德和学风建设宣讲教育、“共和国的脊梁——科学大师名校宣传工程”等系列活动。</w:t>
      </w:r>
    </w:p>
    <w:p w14:paraId="76634B1A"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lastRenderedPageBreak/>
        <w:t>四、日常教育体系</w:t>
      </w:r>
    </w:p>
    <w:p w14:paraId="5A4518CF"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10.深化实践教育。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14:paraId="27D59A7D"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11.繁荣校园文化。坚持培育优良校风教风学风，持续开展文明校园创建活动。建设一批文化传承基地。发挥校园建筑景观、文物和校史校训校歌的文化价值。加强高校原创文化精品创作与推广。</w:t>
      </w:r>
    </w:p>
    <w:p w14:paraId="4894665B"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12.加强网络育人。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14:paraId="00278CB3"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13.促进心理健康。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14:paraId="084D6820"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五、管理服务体系</w:t>
      </w:r>
    </w:p>
    <w:p w14:paraId="1CA056D7"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lastRenderedPageBreak/>
        <w:t>14.提高管理服务水平。健全管理服务育人制度体系，宣传推广一批管理服务育人的先进经验和典型做法，大力营造治理有方、管理到位、风清气正的制度育人环境。</w:t>
      </w:r>
    </w:p>
    <w:p w14:paraId="4E303556"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15.加强群团组织建设。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14:paraId="2A7AFA86"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16.推动“一站式”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14:paraId="4AE9B368"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17.完善精准资助育人。精准认定家庭经济困难学生，健全四级资助认定工作机制，完善档案、动态管理。建设发展型资助体系，加大家庭经济困难学生能力素养培育力度。</w:t>
      </w:r>
    </w:p>
    <w:p w14:paraId="029476A0"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六、安全稳定体系</w:t>
      </w:r>
    </w:p>
    <w:p w14:paraId="14978370"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18.强化高校政治安全。认真落实意识形态工作责任制，加强高校思想文化阵地管理，严格实行审批制度。坚决抵御境外利用宗教渗透，防范校园传教活动。</w:t>
      </w:r>
    </w:p>
    <w:p w14:paraId="139A12B8"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19.加强国家安全教育。持续推动国家安全教育进学校、进教材、进头脑，把集中教育活动与日常教育活动、课堂教育教学与社会实践相结合。建立健全国家安全教育长效机制，不断充实教育内容，完善教学体系。</w:t>
      </w:r>
    </w:p>
    <w:p w14:paraId="18CCDBB6"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lastRenderedPageBreak/>
        <w:t>20.筑牢校园安全防线。切实保护学生生命安全、财产安全、身体健康，严格落实安全防范工作规范要求，强化安全基础建设，完善校园及周边治安综合治理机制。</w:t>
      </w:r>
    </w:p>
    <w:p w14:paraId="061597CF"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21.健全安全责任体系。落实高校安全管理主体责任，完善相应协调和会商机制，落实“一岗双责”。完善预警预防、综合研判、应急处置、督查报告、责任追究等工作制度。</w:t>
      </w:r>
    </w:p>
    <w:p w14:paraId="056D86A4"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七、队伍建设体系</w:t>
      </w:r>
    </w:p>
    <w:p w14:paraId="55D2FC05"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22.建设高水平教师队伍。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14:paraId="1A1B3FBC"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23.打造高素质思想政治工作和党务工作队伍。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w:t>
      </w:r>
      <w:r w:rsidRPr="006C2E21">
        <w:rPr>
          <w:rFonts w:ascii="微软雅黑" w:eastAsia="微软雅黑" w:hAnsi="微软雅黑" w:cs="宋体" w:hint="eastAsia"/>
          <w:color w:val="000000"/>
          <w:kern w:val="0"/>
          <w:sz w:val="24"/>
          <w:szCs w:val="24"/>
        </w:rPr>
        <w:lastRenderedPageBreak/>
        <w:t>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14:paraId="2268C2B3"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24.加大马克思主义学者和青年马克思主义者培养力度。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14:paraId="280217BC"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八、评估督导体系</w:t>
      </w:r>
    </w:p>
    <w:p w14:paraId="73553E71"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25.构建科学测评体系。建立多元多层、科学有效的高校思政工作测评指标体系，完善过程评价和结果评价相结合的实施机制，推动把高校党建和思想政治工作作为“双一流”建设成效评估、学科专业质量评价、人才项目评审、教学科研成果评比的重要指标，并纳入政治巡视、地方和高校领导班子考核、领导干部述职评议的重要内容。</w:t>
      </w:r>
    </w:p>
    <w:p w14:paraId="28496944"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lastRenderedPageBreak/>
        <w:t>26.完善推进落实机制。明确责任分工，细化实施方案，及时研究解决重点问题。将高校思想政治工作纳入整体发展规划和年度工作计划，明确路线图、时间表、责任人。</w:t>
      </w:r>
    </w:p>
    <w:p w14:paraId="2358250E"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27.健全督导问责机制。强化高校思想政治工作督导考核，对履职尽责不力、不及时的，加大追责力度。实行校、院系、基层党组织书记抓党建和思想政治工作述职评议考核制度，纳入党纪监督检查范围。</w:t>
      </w:r>
    </w:p>
    <w:p w14:paraId="07924B47"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b/>
          <w:bCs/>
          <w:color w:val="000000"/>
          <w:kern w:val="0"/>
          <w:sz w:val="24"/>
          <w:szCs w:val="24"/>
        </w:rPr>
        <w:t>九、组织领导和实施保障</w:t>
      </w:r>
    </w:p>
    <w:p w14:paraId="125E9752"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28.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14:paraId="51DFE4ED"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29.加强基层党的建设。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14:paraId="155E4486" w14:textId="77777777" w:rsidR="006C2E21" w:rsidRPr="006C2E21" w:rsidRDefault="006C2E21" w:rsidP="006C2E21">
      <w:pPr>
        <w:widowControl/>
        <w:spacing w:line="480" w:lineRule="auto"/>
        <w:ind w:firstLine="480"/>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lastRenderedPageBreak/>
        <w:t>30.强化工作协同保障。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14:paraId="5C7775C9" w14:textId="77777777" w:rsidR="006C2E21" w:rsidRPr="006C2E21" w:rsidRDefault="006C2E21" w:rsidP="006C2E21">
      <w:pPr>
        <w:widowControl/>
        <w:spacing w:line="480" w:lineRule="auto"/>
        <w:ind w:firstLine="480"/>
        <w:jc w:val="right"/>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教育部</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中共中央组织部</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中共中央宣传部</w:t>
      </w:r>
    </w:p>
    <w:p w14:paraId="6DEE8731" w14:textId="77777777" w:rsidR="006C2E21" w:rsidRPr="006C2E21" w:rsidRDefault="006C2E21" w:rsidP="006C2E21">
      <w:pPr>
        <w:widowControl/>
        <w:spacing w:line="480" w:lineRule="auto"/>
        <w:ind w:firstLine="480"/>
        <w:jc w:val="right"/>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中共中央政法委员会</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中央网络安全和信息化委员会办公室</w:t>
      </w:r>
    </w:p>
    <w:p w14:paraId="72C56792" w14:textId="77777777" w:rsidR="006C2E21" w:rsidRPr="006C2E21" w:rsidRDefault="006C2E21" w:rsidP="006C2E21">
      <w:pPr>
        <w:widowControl/>
        <w:spacing w:line="480" w:lineRule="auto"/>
        <w:ind w:firstLine="480"/>
        <w:jc w:val="right"/>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财政部</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人力资源社会保障部</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 </w:t>
      </w:r>
      <w:r w:rsidRPr="006C2E21">
        <w:rPr>
          <w:rFonts w:ascii="微软雅黑" w:eastAsia="微软雅黑" w:hAnsi="微软雅黑" w:cs="宋体" w:hint="eastAsia"/>
          <w:color w:val="000000"/>
          <w:kern w:val="0"/>
          <w:sz w:val="24"/>
          <w:szCs w:val="24"/>
        </w:rPr>
        <w:t>共青团中央</w:t>
      </w:r>
    </w:p>
    <w:p w14:paraId="1A234726" w14:textId="77777777" w:rsidR="006C2E21" w:rsidRPr="006C2E21" w:rsidRDefault="006C2E21" w:rsidP="006C2E21">
      <w:pPr>
        <w:widowControl/>
        <w:spacing w:line="480" w:lineRule="auto"/>
        <w:ind w:firstLine="480"/>
        <w:jc w:val="right"/>
        <w:rPr>
          <w:rFonts w:ascii="微软雅黑" w:eastAsia="微软雅黑" w:hAnsi="微软雅黑" w:cs="宋体" w:hint="eastAsia"/>
          <w:color w:val="000000"/>
          <w:kern w:val="0"/>
          <w:sz w:val="24"/>
          <w:szCs w:val="24"/>
        </w:rPr>
      </w:pPr>
      <w:r w:rsidRPr="006C2E21">
        <w:rPr>
          <w:rFonts w:ascii="微软雅黑" w:eastAsia="微软雅黑" w:hAnsi="微软雅黑" w:cs="宋体" w:hint="eastAsia"/>
          <w:color w:val="000000"/>
          <w:kern w:val="0"/>
          <w:sz w:val="24"/>
          <w:szCs w:val="24"/>
        </w:rPr>
        <w:t>2020年4月22日</w:t>
      </w:r>
    </w:p>
    <w:p w14:paraId="4EA39FCE" w14:textId="77777777" w:rsidR="00EF622D" w:rsidRDefault="00EF622D"/>
    <w:sectPr w:rsidR="00EF62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BF"/>
    <w:rsid w:val="003525BF"/>
    <w:rsid w:val="006C2E21"/>
    <w:rsid w:val="00EF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7080-F4C3-4AE1-A923-9F8A40B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C2E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C2E21"/>
    <w:rPr>
      <w:rFonts w:ascii="宋体" w:eastAsia="宋体" w:hAnsi="宋体" w:cs="宋体"/>
      <w:b/>
      <w:bCs/>
      <w:kern w:val="36"/>
      <w:sz w:val="48"/>
      <w:szCs w:val="48"/>
    </w:rPr>
  </w:style>
  <w:style w:type="character" w:styleId="a3">
    <w:name w:val="Hyperlink"/>
    <w:basedOn w:val="a0"/>
    <w:uiPriority w:val="99"/>
    <w:semiHidden/>
    <w:unhideWhenUsed/>
    <w:rsid w:val="006C2E21"/>
    <w:rPr>
      <w:color w:val="0000FF"/>
      <w:u w:val="single"/>
    </w:rPr>
  </w:style>
  <w:style w:type="paragraph" w:styleId="a4">
    <w:name w:val="Normal (Web)"/>
    <w:basedOn w:val="a"/>
    <w:uiPriority w:val="99"/>
    <w:semiHidden/>
    <w:unhideWhenUsed/>
    <w:rsid w:val="006C2E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8529">
      <w:bodyDiv w:val="1"/>
      <w:marLeft w:val="0"/>
      <w:marRight w:val="0"/>
      <w:marTop w:val="0"/>
      <w:marBottom w:val="0"/>
      <w:divBdr>
        <w:top w:val="none" w:sz="0" w:space="0" w:color="auto"/>
        <w:left w:val="none" w:sz="0" w:space="0" w:color="auto"/>
        <w:bottom w:val="none" w:sz="0" w:space="0" w:color="auto"/>
        <w:right w:val="none" w:sz="0" w:space="0" w:color="auto"/>
      </w:divBdr>
      <w:divsChild>
        <w:div w:id="1052577122">
          <w:marLeft w:val="0"/>
          <w:marRight w:val="0"/>
          <w:marTop w:val="0"/>
          <w:marBottom w:val="0"/>
          <w:divBdr>
            <w:top w:val="none" w:sz="0" w:space="0" w:color="auto"/>
            <w:left w:val="none" w:sz="0" w:space="0" w:color="auto"/>
            <w:bottom w:val="none" w:sz="0" w:space="0" w:color="auto"/>
            <w:right w:val="none" w:sz="0" w:space="0" w:color="auto"/>
          </w:divBdr>
          <w:divsChild>
            <w:div w:id="1661034464">
              <w:marLeft w:val="0"/>
              <w:marRight w:val="0"/>
              <w:marTop w:val="0"/>
              <w:marBottom w:val="0"/>
              <w:divBdr>
                <w:top w:val="none" w:sz="0" w:space="0" w:color="auto"/>
                <w:left w:val="none" w:sz="0" w:space="0" w:color="auto"/>
                <w:bottom w:val="none" w:sz="0" w:space="0" w:color="auto"/>
                <w:right w:val="none" w:sz="0" w:space="0" w:color="auto"/>
              </w:divBdr>
              <w:divsChild>
                <w:div w:id="1643733058">
                  <w:marLeft w:val="0"/>
                  <w:marRight w:val="0"/>
                  <w:marTop w:val="0"/>
                  <w:marBottom w:val="0"/>
                  <w:divBdr>
                    <w:top w:val="none" w:sz="0" w:space="0" w:color="auto"/>
                    <w:left w:val="none" w:sz="0" w:space="0" w:color="auto"/>
                    <w:bottom w:val="none" w:sz="0" w:space="0" w:color="auto"/>
                    <w:right w:val="none" w:sz="0" w:space="0" w:color="auto"/>
                  </w:divBdr>
                  <w:divsChild>
                    <w:div w:id="1379743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746">
          <w:marLeft w:val="0"/>
          <w:marRight w:val="0"/>
          <w:marTop w:val="450"/>
          <w:marBottom w:val="0"/>
          <w:divBdr>
            <w:top w:val="single" w:sz="6" w:space="31" w:color="DEDEDE"/>
            <w:left w:val="single" w:sz="6" w:space="31" w:color="DEDEDE"/>
            <w:bottom w:val="single" w:sz="6" w:space="31" w:color="DEDEDE"/>
            <w:right w:val="single" w:sz="6" w:space="31" w:color="DEDEDE"/>
          </w:divBdr>
          <w:divsChild>
            <w:div w:id="169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s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王辉艳</dc:creator>
  <cp:keywords/>
  <dc:description/>
  <cp:lastModifiedBy>王辉艳</cp:lastModifiedBy>
  <cp:revision>3</cp:revision>
  <dcterms:created xsi:type="dcterms:W3CDTF">2020-11-20T01:53:00Z</dcterms:created>
  <dcterms:modified xsi:type="dcterms:W3CDTF">2020-11-20T01:53:00Z</dcterms:modified>
</cp:coreProperties>
</file>