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8777" w14:textId="20F708F8" w:rsidR="003471FD" w:rsidRDefault="004B0378" w:rsidP="00471ACF">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61EE8638" w14:textId="77777777" w:rsidR="003471FD" w:rsidRDefault="003471FD" w:rsidP="007F3400">
      <w:pPr>
        <w:tabs>
          <w:tab w:val="left" w:pos="7920"/>
          <w:tab w:val="left" w:pos="8460"/>
        </w:tabs>
        <w:spacing w:line="600" w:lineRule="exact"/>
        <w:jc w:val="left"/>
        <w:rPr>
          <w:rFonts w:eastAsia="方正仿宋_GBK"/>
          <w:sz w:val="32"/>
          <w:szCs w:val="32"/>
        </w:rPr>
      </w:pPr>
    </w:p>
    <w:p w14:paraId="169FEFB5" w14:textId="2D752531" w:rsidR="007F3400" w:rsidRPr="002B7AA6" w:rsidRDefault="00D066D9"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2021﹞149号</w:t>
      </w:r>
    </w:p>
    <w:p w14:paraId="10BBB2AC" w14:textId="77777777" w:rsidR="00471ACF" w:rsidRDefault="005F48BC" w:rsidP="00471ACF">
      <w:pPr>
        <w:spacing w:line="1100" w:lineRule="exact"/>
        <w:jc w:val="center"/>
        <w:rPr>
          <w:rFonts w:ascii="方正小标宋简体" w:eastAsia="方正小标宋简体" w:hAnsi="仿宋"/>
          <w:color w:val="000000"/>
          <w:sz w:val="36"/>
          <w:szCs w:val="36"/>
        </w:rPr>
      </w:pPr>
      <w:r>
        <w:rPr>
          <w:noProof/>
        </w:rPr>
        <w:pict w14:anchorId="67E1615A">
          <v:line id="_x0000_s1048" style="position:absolute;left:0;text-align:left;flip:y;z-index:251657728" from="-8.8pt,14.45pt" to="454.65pt,15pt" strokecolor="red" strokeweight="2pt">
            <w10:wrap type="square"/>
          </v:line>
        </w:pict>
      </w:r>
      <w:r w:rsidR="00471ACF" w:rsidRPr="002A2436">
        <w:rPr>
          <w:rFonts w:ascii="方正小标宋简体" w:eastAsia="方正小标宋简体" w:hAnsi="仿宋" w:hint="eastAsia"/>
          <w:color w:val="000000"/>
          <w:sz w:val="36"/>
          <w:szCs w:val="36"/>
        </w:rPr>
        <w:t>关于印发《</w:t>
      </w:r>
      <w:r w:rsidR="00471ACF" w:rsidRPr="00687777">
        <w:rPr>
          <w:rFonts w:ascii="方正小标宋简体" w:eastAsia="方正小标宋简体" w:hAnsi="仿宋" w:hint="eastAsia"/>
          <w:color w:val="000000"/>
          <w:sz w:val="36"/>
          <w:szCs w:val="36"/>
        </w:rPr>
        <w:t>西华大学研究生</w:t>
      </w:r>
    </w:p>
    <w:p w14:paraId="0BC221A4" w14:textId="77777777" w:rsidR="00471ACF" w:rsidRPr="002A2436" w:rsidRDefault="00471ACF" w:rsidP="00687777">
      <w:pPr>
        <w:spacing w:line="276" w:lineRule="auto"/>
        <w:jc w:val="center"/>
        <w:rPr>
          <w:rFonts w:ascii="方正小标宋简体" w:eastAsia="方正小标宋简体" w:hAnsi="仿宋"/>
          <w:color w:val="000000"/>
          <w:sz w:val="36"/>
          <w:szCs w:val="36"/>
        </w:rPr>
      </w:pPr>
      <w:r w:rsidRPr="00687777">
        <w:rPr>
          <w:rFonts w:ascii="方正小标宋简体" w:eastAsia="方正小标宋简体" w:hAnsi="仿宋" w:hint="eastAsia"/>
          <w:color w:val="000000"/>
          <w:sz w:val="36"/>
          <w:szCs w:val="36"/>
        </w:rPr>
        <w:t>选题与开题的相关规定（试行）</w:t>
      </w:r>
      <w:r w:rsidRPr="002A2436">
        <w:rPr>
          <w:rFonts w:ascii="方正小标宋简体" w:eastAsia="方正小标宋简体" w:hAnsi="仿宋" w:hint="eastAsia"/>
          <w:color w:val="000000"/>
          <w:sz w:val="36"/>
          <w:szCs w:val="36"/>
        </w:rPr>
        <w:t>》的通知</w:t>
      </w:r>
    </w:p>
    <w:p w14:paraId="31914A0D" w14:textId="77777777" w:rsidR="00471ACF" w:rsidRPr="00687777" w:rsidRDefault="00471ACF" w:rsidP="00687777">
      <w:pPr>
        <w:spacing w:line="360" w:lineRule="auto"/>
        <w:ind w:firstLine="560"/>
        <w:rPr>
          <w:rFonts w:ascii="仿宋" w:eastAsia="仿宋" w:hAnsi="仿宋"/>
          <w:bCs/>
          <w:color w:val="000000"/>
          <w:sz w:val="28"/>
          <w:szCs w:val="28"/>
        </w:rPr>
      </w:pPr>
    </w:p>
    <w:p w14:paraId="2DD2946A" w14:textId="77777777" w:rsidR="00471ACF" w:rsidRPr="002A2436" w:rsidRDefault="00471ACF" w:rsidP="00687777">
      <w:pPr>
        <w:spacing w:line="620" w:lineRule="exact"/>
        <w:rPr>
          <w:rFonts w:ascii="仿宋" w:eastAsia="仿宋" w:hAnsi="仿宋"/>
          <w:bCs/>
          <w:color w:val="000000"/>
          <w:sz w:val="32"/>
          <w:szCs w:val="32"/>
        </w:rPr>
      </w:pPr>
      <w:r w:rsidRPr="002A2436">
        <w:rPr>
          <w:rFonts w:ascii="仿宋" w:eastAsia="仿宋" w:hAnsi="仿宋" w:hint="eastAsia"/>
          <w:bCs/>
          <w:color w:val="000000"/>
          <w:sz w:val="32"/>
          <w:szCs w:val="32"/>
        </w:rPr>
        <w:t>各单位：</w:t>
      </w:r>
    </w:p>
    <w:p w14:paraId="02946920" w14:textId="703595F9" w:rsidR="00471ACF" w:rsidRPr="002A2436" w:rsidRDefault="005F48BC" w:rsidP="00687777">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08A9A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1265629964113562259docx.docx&#10;MARKNAME=西华大学（新）&#10;USERNAME=校办-公文&#10;DATETIME=2021-7-29 14:52:54&#10;MARKGUID={56EA9A97-F99C-46D6-A9EE-01731F8DDC32}" style="position:absolute;left:0;text-align:left;margin-left:110.65pt;margin-top:362.1pt;width:323.25pt;height:195pt;rotation:-279408fd;z-index:-251657728;visibility:visible;mso-position-horizontal-relative:page;mso-position-vertical-relative:page">
            <v:imagedata r:id="rId6" o:title="KGiWebOffice2015" chromakey="white" grayscale="t"/>
            <w10:wrap anchorx="page" anchory="page"/>
          </v:shape>
        </w:pict>
      </w:r>
      <w:r w:rsidR="00471ACF" w:rsidRPr="002A2436">
        <w:rPr>
          <w:rFonts w:ascii="仿宋" w:eastAsia="仿宋" w:hAnsi="仿宋" w:hint="eastAsia"/>
          <w:bCs/>
          <w:color w:val="000000"/>
          <w:sz w:val="32"/>
          <w:szCs w:val="32"/>
        </w:rPr>
        <w:t>《</w:t>
      </w:r>
      <w:r w:rsidR="00471ACF" w:rsidRPr="00687777">
        <w:rPr>
          <w:rFonts w:ascii="仿宋" w:eastAsia="仿宋" w:hAnsi="仿宋" w:hint="eastAsia"/>
          <w:bCs/>
          <w:color w:val="000000"/>
          <w:sz w:val="32"/>
          <w:szCs w:val="32"/>
        </w:rPr>
        <w:t>西华大学研究生选题与开题的相关规定（试行）</w:t>
      </w:r>
      <w:r w:rsidR="00471ACF" w:rsidRPr="002A2436">
        <w:rPr>
          <w:rFonts w:ascii="仿宋" w:eastAsia="仿宋" w:hAnsi="仿宋" w:hint="eastAsia"/>
          <w:bCs/>
          <w:color w:val="000000"/>
          <w:sz w:val="32"/>
          <w:szCs w:val="32"/>
        </w:rPr>
        <w:t>》经20</w:t>
      </w:r>
      <w:r w:rsidR="00471ACF" w:rsidRPr="002A2436">
        <w:rPr>
          <w:rFonts w:ascii="仿宋" w:eastAsia="仿宋" w:hAnsi="仿宋"/>
          <w:bCs/>
          <w:color w:val="000000"/>
          <w:sz w:val="32"/>
          <w:szCs w:val="32"/>
        </w:rPr>
        <w:t>21</w:t>
      </w:r>
      <w:r w:rsidR="00471ACF" w:rsidRPr="002A2436">
        <w:rPr>
          <w:rFonts w:ascii="仿宋" w:eastAsia="仿宋" w:hAnsi="仿宋" w:hint="eastAsia"/>
          <w:bCs/>
          <w:color w:val="000000"/>
          <w:sz w:val="32"/>
          <w:szCs w:val="32"/>
        </w:rPr>
        <w:t>年</w:t>
      </w:r>
      <w:r w:rsidR="00471ACF">
        <w:rPr>
          <w:rFonts w:ascii="仿宋" w:eastAsia="仿宋" w:hAnsi="仿宋"/>
          <w:bCs/>
          <w:color w:val="000000"/>
          <w:sz w:val="32"/>
          <w:szCs w:val="32"/>
        </w:rPr>
        <w:t>7</w:t>
      </w:r>
      <w:r w:rsidR="00471ACF" w:rsidRPr="002A2436">
        <w:rPr>
          <w:rFonts w:ascii="仿宋" w:eastAsia="仿宋" w:hAnsi="仿宋" w:hint="eastAsia"/>
          <w:bCs/>
          <w:color w:val="000000"/>
          <w:sz w:val="32"/>
          <w:szCs w:val="32"/>
        </w:rPr>
        <w:t>月</w:t>
      </w:r>
      <w:r w:rsidR="00471ACF" w:rsidRPr="002A2436">
        <w:rPr>
          <w:rFonts w:ascii="仿宋" w:eastAsia="仿宋" w:hAnsi="仿宋"/>
          <w:bCs/>
          <w:color w:val="000000"/>
          <w:sz w:val="32"/>
          <w:szCs w:val="32"/>
        </w:rPr>
        <w:t>1</w:t>
      </w:r>
      <w:r w:rsidR="00471ACF">
        <w:rPr>
          <w:rFonts w:ascii="仿宋" w:eastAsia="仿宋" w:hAnsi="仿宋"/>
          <w:bCs/>
          <w:color w:val="000000"/>
          <w:sz w:val="32"/>
          <w:szCs w:val="32"/>
        </w:rPr>
        <w:t>4</w:t>
      </w:r>
      <w:r w:rsidR="00471ACF" w:rsidRPr="002A2436">
        <w:rPr>
          <w:rFonts w:ascii="仿宋" w:eastAsia="仿宋" w:hAnsi="仿宋" w:hint="eastAsia"/>
          <w:bCs/>
          <w:color w:val="000000"/>
          <w:sz w:val="32"/>
          <w:szCs w:val="32"/>
        </w:rPr>
        <w:t>日校务会审议通过，现予印发，请遵照执行。</w:t>
      </w:r>
    </w:p>
    <w:p w14:paraId="12919019" w14:textId="77777777" w:rsidR="00471ACF" w:rsidRPr="002A2436" w:rsidRDefault="00471ACF" w:rsidP="00687777">
      <w:pPr>
        <w:spacing w:line="620" w:lineRule="exact"/>
        <w:ind w:firstLineChars="200" w:firstLine="640"/>
        <w:rPr>
          <w:rFonts w:ascii="仿宋" w:eastAsia="仿宋" w:hAnsi="仿宋"/>
          <w:bCs/>
          <w:color w:val="000000"/>
          <w:sz w:val="32"/>
          <w:szCs w:val="32"/>
        </w:rPr>
      </w:pPr>
    </w:p>
    <w:p w14:paraId="7551CDA6" w14:textId="77777777" w:rsidR="00471ACF" w:rsidRPr="002A2436" w:rsidRDefault="00471ACF" w:rsidP="00687777">
      <w:pPr>
        <w:spacing w:line="620" w:lineRule="exact"/>
        <w:ind w:firstLineChars="200" w:firstLine="640"/>
        <w:rPr>
          <w:rFonts w:ascii="仿宋" w:eastAsia="仿宋" w:hAnsi="仿宋"/>
          <w:bCs/>
          <w:color w:val="000000"/>
          <w:sz w:val="32"/>
          <w:szCs w:val="32"/>
        </w:rPr>
      </w:pPr>
    </w:p>
    <w:p w14:paraId="5E4B3D7B" w14:textId="77777777" w:rsidR="00471ACF" w:rsidRPr="002A2436" w:rsidRDefault="00471ACF" w:rsidP="00687777">
      <w:pPr>
        <w:spacing w:line="620" w:lineRule="exact"/>
        <w:ind w:right="640"/>
        <w:jc w:val="center"/>
        <w:rPr>
          <w:rFonts w:ascii="仿宋" w:eastAsia="仿宋" w:hAnsi="仿宋"/>
          <w:bCs/>
          <w:color w:val="000000"/>
          <w:sz w:val="32"/>
          <w:szCs w:val="32"/>
        </w:rPr>
      </w:pPr>
      <w:r>
        <w:rPr>
          <w:rFonts w:ascii="仿宋" w:eastAsia="仿宋" w:hAnsi="仿宋" w:hint="eastAsia"/>
          <w:bCs/>
          <w:color w:val="000000"/>
          <w:sz w:val="32"/>
          <w:szCs w:val="32"/>
        </w:rPr>
        <w:t xml:space="preserve">                      </w:t>
      </w:r>
      <w:r w:rsidRPr="002A2436">
        <w:rPr>
          <w:rFonts w:ascii="仿宋" w:eastAsia="仿宋" w:hAnsi="仿宋" w:hint="eastAsia"/>
          <w:bCs/>
          <w:color w:val="000000"/>
          <w:sz w:val="32"/>
          <w:szCs w:val="32"/>
        </w:rPr>
        <w:t xml:space="preserve"> 西华大学</w:t>
      </w:r>
    </w:p>
    <w:p w14:paraId="07829258" w14:textId="36A84396" w:rsidR="00471ACF" w:rsidRPr="002A2436" w:rsidRDefault="00471ACF" w:rsidP="00687777">
      <w:pPr>
        <w:spacing w:line="560" w:lineRule="exact"/>
        <w:ind w:firstLineChars="1500" w:firstLine="4800"/>
        <w:rPr>
          <w:rFonts w:ascii="仿宋" w:eastAsia="仿宋" w:hAnsi="仿宋"/>
          <w:sz w:val="32"/>
          <w:szCs w:val="32"/>
        </w:rPr>
      </w:pPr>
      <w:r w:rsidRPr="002A2436">
        <w:rPr>
          <w:rFonts w:ascii="仿宋" w:eastAsia="仿宋" w:hAnsi="仿宋" w:hint="eastAsia"/>
          <w:bCs/>
          <w:color w:val="000000"/>
          <w:sz w:val="32"/>
          <w:szCs w:val="32"/>
        </w:rPr>
        <w:t>2</w:t>
      </w:r>
      <w:r w:rsidRPr="002A2436">
        <w:rPr>
          <w:rFonts w:ascii="仿宋" w:eastAsia="仿宋" w:hAnsi="仿宋"/>
          <w:bCs/>
          <w:color w:val="000000"/>
          <w:sz w:val="32"/>
          <w:szCs w:val="32"/>
        </w:rPr>
        <w:t>021</w:t>
      </w:r>
      <w:r w:rsidRPr="002A2436">
        <w:rPr>
          <w:rFonts w:ascii="仿宋" w:eastAsia="仿宋" w:hAnsi="仿宋" w:hint="eastAsia"/>
          <w:bCs/>
          <w:color w:val="000000"/>
          <w:sz w:val="32"/>
          <w:szCs w:val="32"/>
        </w:rPr>
        <w:t>年</w:t>
      </w:r>
      <w:r>
        <w:rPr>
          <w:rFonts w:ascii="仿宋" w:eastAsia="仿宋" w:hAnsi="仿宋"/>
          <w:bCs/>
          <w:color w:val="000000"/>
          <w:sz w:val="32"/>
          <w:szCs w:val="32"/>
        </w:rPr>
        <w:t>7</w:t>
      </w:r>
      <w:r w:rsidRPr="002A2436">
        <w:rPr>
          <w:rFonts w:ascii="仿宋" w:eastAsia="仿宋" w:hAnsi="仿宋" w:hint="eastAsia"/>
          <w:bCs/>
          <w:color w:val="000000"/>
          <w:sz w:val="32"/>
          <w:szCs w:val="32"/>
        </w:rPr>
        <w:t>月</w:t>
      </w:r>
      <w:r w:rsidRPr="002A2436">
        <w:rPr>
          <w:rFonts w:ascii="仿宋" w:eastAsia="仿宋" w:hAnsi="仿宋"/>
          <w:bCs/>
          <w:color w:val="000000"/>
          <w:sz w:val="32"/>
          <w:szCs w:val="32"/>
        </w:rPr>
        <w:t>1</w:t>
      </w:r>
      <w:r>
        <w:rPr>
          <w:rFonts w:ascii="仿宋" w:eastAsia="仿宋" w:hAnsi="仿宋"/>
          <w:bCs/>
          <w:color w:val="000000"/>
          <w:sz w:val="32"/>
          <w:szCs w:val="32"/>
        </w:rPr>
        <w:t>9</w:t>
      </w:r>
      <w:r w:rsidRPr="002A2436">
        <w:rPr>
          <w:rFonts w:ascii="仿宋" w:eastAsia="仿宋" w:hAnsi="仿宋" w:hint="eastAsia"/>
          <w:bCs/>
          <w:color w:val="000000"/>
          <w:sz w:val="32"/>
          <w:szCs w:val="32"/>
        </w:rPr>
        <w:t xml:space="preserve">日  </w:t>
      </w:r>
    </w:p>
    <w:p w14:paraId="3734FAB5" w14:textId="77777777" w:rsidR="00471ACF" w:rsidRDefault="00471ACF" w:rsidP="00687777">
      <w:pPr>
        <w:snapToGrid w:val="0"/>
        <w:spacing w:line="360" w:lineRule="auto"/>
        <w:rPr>
          <w:rFonts w:ascii="仿宋" w:eastAsia="仿宋" w:hAnsi="仿宋"/>
          <w:b/>
          <w:sz w:val="32"/>
          <w:szCs w:val="32"/>
        </w:rPr>
      </w:pPr>
    </w:p>
    <w:p w14:paraId="0682C933" w14:textId="77777777" w:rsidR="00471ACF" w:rsidRDefault="00471ACF" w:rsidP="00687777">
      <w:pPr>
        <w:snapToGrid w:val="0"/>
        <w:spacing w:line="360" w:lineRule="auto"/>
        <w:ind w:rightChars="12" w:right="25"/>
        <w:rPr>
          <w:rFonts w:ascii="仿宋" w:eastAsia="仿宋" w:hAnsi="仿宋"/>
          <w:b/>
          <w:sz w:val="32"/>
          <w:szCs w:val="32"/>
        </w:rPr>
      </w:pPr>
    </w:p>
    <w:p w14:paraId="626D5C07" w14:textId="77777777" w:rsidR="00471ACF" w:rsidRDefault="00471ACF" w:rsidP="00C74642">
      <w:pPr>
        <w:snapToGrid w:val="0"/>
        <w:spacing w:line="360" w:lineRule="auto"/>
        <w:ind w:rightChars="12" w:right="25"/>
        <w:jc w:val="center"/>
        <w:rPr>
          <w:rFonts w:ascii="仿宋" w:eastAsia="仿宋" w:hAnsi="仿宋"/>
          <w:b/>
          <w:sz w:val="32"/>
          <w:szCs w:val="32"/>
        </w:rPr>
      </w:pPr>
    </w:p>
    <w:p w14:paraId="187062B8" w14:textId="77777777" w:rsidR="00471ACF" w:rsidRPr="00471ACF" w:rsidRDefault="00471ACF" w:rsidP="00C74642">
      <w:pPr>
        <w:snapToGrid w:val="0"/>
        <w:spacing w:line="360" w:lineRule="auto"/>
        <w:ind w:rightChars="12" w:right="25"/>
        <w:jc w:val="center"/>
        <w:rPr>
          <w:rFonts w:ascii="方正小标宋简体" w:eastAsia="方正小标宋简体" w:hAnsi="仿宋"/>
          <w:sz w:val="36"/>
          <w:szCs w:val="36"/>
        </w:rPr>
      </w:pPr>
      <w:r>
        <w:rPr>
          <w:rFonts w:ascii="仿宋" w:eastAsia="仿宋" w:hAnsi="仿宋"/>
          <w:b/>
          <w:sz w:val="32"/>
          <w:szCs w:val="32"/>
        </w:rPr>
        <w:br w:type="page"/>
      </w:r>
      <w:r w:rsidRPr="00471ACF">
        <w:rPr>
          <w:rFonts w:ascii="方正小标宋简体" w:eastAsia="方正小标宋简体" w:hAnsi="仿宋" w:hint="eastAsia"/>
          <w:sz w:val="36"/>
          <w:szCs w:val="36"/>
        </w:rPr>
        <w:lastRenderedPageBreak/>
        <w:t>西华大学研究生选题与开题的相关规定（试行）</w:t>
      </w:r>
    </w:p>
    <w:p w14:paraId="2A87EF15" w14:textId="77777777" w:rsidR="00471ACF" w:rsidRPr="00687777" w:rsidRDefault="00471ACF" w:rsidP="00C74642">
      <w:pPr>
        <w:snapToGrid w:val="0"/>
        <w:spacing w:line="360" w:lineRule="auto"/>
        <w:ind w:rightChars="12" w:right="25"/>
        <w:jc w:val="center"/>
        <w:rPr>
          <w:rFonts w:ascii="仿宋" w:eastAsia="仿宋" w:hAnsi="仿宋"/>
          <w:b/>
          <w:sz w:val="28"/>
          <w:szCs w:val="28"/>
        </w:rPr>
      </w:pPr>
    </w:p>
    <w:p w14:paraId="3BEBC1FC"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研究生学位论文工作是研究生培养工作的重要组成部分，是培养研究生创新能力、综合运用所学知识分析问题和解决问题能力的重要环节，是对研究生进行科学研究或承担专门技术工作能力的训练。为确保研究生学位论文工作顺利进行，提高研究生学位论文质量，根据教育部办公厅《关于进一步规范和加强研究生培养管理的通知》（教研厅〔2019〕1号）、</w:t>
      </w:r>
      <w:bookmarkStart w:id="0" w:name="_Hlk55805499"/>
      <w:r w:rsidRPr="00471ACF">
        <w:rPr>
          <w:rFonts w:ascii="仿宋" w:eastAsia="仿宋" w:hAnsi="仿宋" w:hint="eastAsia"/>
          <w:sz w:val="32"/>
          <w:szCs w:val="32"/>
        </w:rPr>
        <w:t>教育部 国家发展改革委 财政部《关于加快新时代研究生教育改革发展的意见》（教研〔2020〕9号）、《</w:t>
      </w:r>
      <w:r w:rsidRPr="00471ACF">
        <w:rPr>
          <w:rFonts w:ascii="仿宋" w:eastAsia="仿宋" w:hAnsi="仿宋"/>
          <w:sz w:val="32"/>
          <w:szCs w:val="32"/>
        </w:rPr>
        <w:t>关于进一步严格规范学位与研究生教育质量管理的若干意见</w:t>
      </w:r>
      <w:r w:rsidRPr="00471ACF">
        <w:rPr>
          <w:rFonts w:ascii="仿宋" w:eastAsia="仿宋" w:hAnsi="仿宋" w:hint="eastAsia"/>
          <w:sz w:val="32"/>
          <w:szCs w:val="32"/>
        </w:rPr>
        <w:t>》（学位〔20</w:t>
      </w:r>
      <w:r w:rsidRPr="00471ACF">
        <w:rPr>
          <w:rFonts w:ascii="仿宋" w:eastAsia="仿宋" w:hAnsi="仿宋"/>
          <w:sz w:val="32"/>
          <w:szCs w:val="32"/>
        </w:rPr>
        <w:t>20</w:t>
      </w:r>
      <w:r w:rsidRPr="00471ACF">
        <w:rPr>
          <w:rFonts w:ascii="仿宋" w:eastAsia="仿宋" w:hAnsi="仿宋" w:hint="eastAsia"/>
          <w:sz w:val="32"/>
          <w:szCs w:val="32"/>
        </w:rPr>
        <w:t>〕1</w:t>
      </w:r>
      <w:r w:rsidRPr="00471ACF">
        <w:rPr>
          <w:rFonts w:ascii="仿宋" w:eastAsia="仿宋" w:hAnsi="仿宋"/>
          <w:sz w:val="32"/>
          <w:szCs w:val="32"/>
        </w:rPr>
        <w:t>9</w:t>
      </w:r>
      <w:r w:rsidRPr="00471ACF">
        <w:rPr>
          <w:rFonts w:ascii="仿宋" w:eastAsia="仿宋" w:hAnsi="仿宋" w:hint="eastAsia"/>
          <w:sz w:val="32"/>
          <w:szCs w:val="32"/>
        </w:rPr>
        <w:t>号）</w:t>
      </w:r>
      <w:bookmarkEnd w:id="0"/>
      <w:r w:rsidRPr="00471ACF">
        <w:rPr>
          <w:rFonts w:ascii="仿宋" w:eastAsia="仿宋" w:hAnsi="仿宋" w:hint="eastAsia"/>
          <w:sz w:val="32"/>
          <w:szCs w:val="32"/>
        </w:rPr>
        <w:t>等文件精神，结合我校实际制定本规定。</w:t>
      </w:r>
    </w:p>
    <w:p w14:paraId="5E7DB3B7" w14:textId="77777777" w:rsidR="00471ACF" w:rsidRPr="00471ACF" w:rsidRDefault="00471ACF" w:rsidP="005F48BC">
      <w:pPr>
        <w:snapToGrid w:val="0"/>
        <w:spacing w:line="620" w:lineRule="exact"/>
        <w:ind w:firstLineChars="200" w:firstLine="640"/>
        <w:rPr>
          <w:rFonts w:ascii="黑体" w:eastAsia="黑体" w:hAnsi="黑体"/>
          <w:bCs/>
          <w:sz w:val="32"/>
          <w:szCs w:val="32"/>
        </w:rPr>
      </w:pPr>
      <w:r w:rsidRPr="00471ACF">
        <w:rPr>
          <w:rFonts w:ascii="黑体" w:eastAsia="黑体" w:hAnsi="黑体" w:hint="eastAsia"/>
          <w:bCs/>
          <w:sz w:val="32"/>
          <w:szCs w:val="32"/>
        </w:rPr>
        <w:t>一、选题的原则</w:t>
      </w:r>
    </w:p>
    <w:p w14:paraId="17646526"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1</w:t>
      </w:r>
      <w:r w:rsidRPr="00471ACF">
        <w:rPr>
          <w:rFonts w:ascii="仿宋" w:eastAsia="仿宋" w:hAnsi="仿宋"/>
          <w:sz w:val="32"/>
          <w:szCs w:val="32"/>
        </w:rPr>
        <w:t>.</w:t>
      </w:r>
      <w:r w:rsidRPr="00471ACF">
        <w:rPr>
          <w:rFonts w:ascii="仿宋" w:eastAsia="仿宋" w:hAnsi="仿宋" w:hint="eastAsia"/>
          <w:sz w:val="32"/>
          <w:szCs w:val="32"/>
        </w:rPr>
        <w:t>论文选题是学位论文工作的关键，研究生入学后可在导师指导下，边进行课程学习边查阅资料，开展论文选题工作。</w:t>
      </w:r>
    </w:p>
    <w:p w14:paraId="01892B57"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2</w:t>
      </w:r>
      <w:r w:rsidRPr="00471ACF">
        <w:rPr>
          <w:rFonts w:ascii="仿宋" w:eastAsia="仿宋" w:hAnsi="仿宋"/>
          <w:sz w:val="32"/>
          <w:szCs w:val="32"/>
        </w:rPr>
        <w:t>.</w:t>
      </w:r>
      <w:r w:rsidRPr="00471ACF">
        <w:rPr>
          <w:rFonts w:ascii="仿宋" w:eastAsia="仿宋" w:hAnsi="仿宋" w:hint="eastAsia"/>
          <w:sz w:val="32"/>
          <w:szCs w:val="32"/>
        </w:rPr>
        <w:t>论文题目可由导师，也可由研究生，或由导师和研究生共同商榷拟出，尽量考虑研究生的专长和不足，结合研究生在某方面的特长和兴趣，但不得偏离本学科、类别研究方向。如果修改研究方向必须在开题之前完成，开题之后如果修改研究方向则须重新开题。</w:t>
      </w:r>
    </w:p>
    <w:p w14:paraId="0650557E"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3.</w:t>
      </w:r>
      <w:r w:rsidRPr="00471ACF">
        <w:rPr>
          <w:rFonts w:ascii="仿宋" w:eastAsia="仿宋" w:hAnsi="仿宋" w:hint="eastAsia"/>
          <w:sz w:val="32"/>
          <w:szCs w:val="32"/>
        </w:rPr>
        <w:t>论文选题应尽量结合导师的科研项目进行，在进行论文选</w:t>
      </w:r>
      <w:r w:rsidRPr="00471ACF">
        <w:rPr>
          <w:rFonts w:ascii="仿宋" w:eastAsia="仿宋" w:hAnsi="仿宋" w:hint="eastAsia"/>
          <w:sz w:val="32"/>
          <w:szCs w:val="32"/>
        </w:rPr>
        <w:lastRenderedPageBreak/>
        <w:t>题过程中，导师还应充分考虑实现该课题的基本物质条件，如经费、仪器设备、试验条件等，以及按期完成论文工作所需的时间。</w:t>
      </w:r>
    </w:p>
    <w:p w14:paraId="52EC6EAF" w14:textId="77777777" w:rsidR="00471ACF" w:rsidRPr="00471ACF" w:rsidRDefault="00471ACF" w:rsidP="005F48BC">
      <w:pPr>
        <w:snapToGrid w:val="0"/>
        <w:spacing w:line="620" w:lineRule="exact"/>
        <w:ind w:firstLineChars="200" w:firstLine="640"/>
        <w:rPr>
          <w:rFonts w:ascii="黑体" w:eastAsia="黑体" w:hAnsi="黑体"/>
          <w:bCs/>
          <w:sz w:val="32"/>
          <w:szCs w:val="32"/>
        </w:rPr>
      </w:pPr>
      <w:r w:rsidRPr="00471ACF">
        <w:rPr>
          <w:rFonts w:ascii="黑体" w:eastAsia="黑体" w:hAnsi="黑体" w:hint="eastAsia"/>
          <w:bCs/>
          <w:sz w:val="32"/>
          <w:szCs w:val="32"/>
        </w:rPr>
        <w:t>二、选题的要求</w:t>
      </w:r>
    </w:p>
    <w:p w14:paraId="535EFF7B"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1.学术学位研究生的论文选题要求：理论和方法研究方面具有新意，论文拟解决的问题应明确，能把握本学科研究前沿动态，对科技发展或经济建设、社会进步有一定的理论和实用价值，有新意（新发现、新见解、新方法和新成果）。</w:t>
      </w:r>
    </w:p>
    <w:p w14:paraId="7E7BEC58"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2.专业学位研究生的论文选题要求：体现各专业学位类别特点，突出学以致用，应有一定的理论价值和技术难度，同时必须体现实践型特点，直接来源于应用课题或现实问题，要有明确的行业/产业背景和应用价值；有一定的先进性和工作量，要能体现学生综合运用专业理论、方法和技术手段解决实际问题的能力。</w:t>
      </w:r>
    </w:p>
    <w:p w14:paraId="7326E3ED" w14:textId="77777777" w:rsidR="00471ACF" w:rsidRPr="00471ACF" w:rsidRDefault="00471ACF" w:rsidP="005F48BC">
      <w:pPr>
        <w:snapToGrid w:val="0"/>
        <w:spacing w:line="620" w:lineRule="exact"/>
        <w:ind w:firstLineChars="200" w:firstLine="640"/>
        <w:rPr>
          <w:rFonts w:ascii="黑体" w:eastAsia="黑体" w:hAnsi="黑体"/>
          <w:bCs/>
          <w:sz w:val="32"/>
          <w:szCs w:val="32"/>
        </w:rPr>
      </w:pPr>
      <w:r w:rsidRPr="00471ACF">
        <w:rPr>
          <w:rFonts w:ascii="黑体" w:eastAsia="黑体" w:hAnsi="黑体" w:hint="eastAsia"/>
          <w:bCs/>
          <w:sz w:val="32"/>
          <w:szCs w:val="32"/>
        </w:rPr>
        <w:t>三、开题报告的内容</w:t>
      </w:r>
    </w:p>
    <w:p w14:paraId="3602F3F5"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1.学位论文选题依据</w:t>
      </w:r>
    </w:p>
    <w:p w14:paraId="2A55D765"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对所属研究方向阅读文献的概述，所属研究方向的研究</w:t>
      </w:r>
      <w:r w:rsidRPr="00471ACF">
        <w:rPr>
          <w:rFonts w:ascii="仿宋" w:eastAsia="仿宋" w:hAnsi="仿宋"/>
          <w:sz w:val="32"/>
          <w:szCs w:val="32"/>
        </w:rPr>
        <w:t>/技术</w:t>
      </w:r>
      <w:r w:rsidRPr="00471ACF">
        <w:rPr>
          <w:rFonts w:ascii="仿宋" w:eastAsia="仿宋" w:hAnsi="仿宋" w:hint="eastAsia"/>
          <w:sz w:val="32"/>
          <w:szCs w:val="32"/>
        </w:rPr>
        <w:t>现状与发展趋势，</w:t>
      </w:r>
      <w:r w:rsidRPr="00471ACF">
        <w:rPr>
          <w:rFonts w:ascii="仿宋" w:eastAsia="仿宋" w:hAnsi="仿宋"/>
          <w:sz w:val="32"/>
          <w:szCs w:val="32"/>
        </w:rPr>
        <w:t>论文选题的意义</w:t>
      </w:r>
      <w:r w:rsidRPr="00471ACF">
        <w:rPr>
          <w:rFonts w:ascii="仿宋" w:eastAsia="仿宋" w:hAnsi="仿宋" w:hint="eastAsia"/>
          <w:sz w:val="32"/>
          <w:szCs w:val="32"/>
        </w:rPr>
        <w:t>，主要参考文献等。</w:t>
      </w:r>
    </w:p>
    <w:p w14:paraId="3A350BEB"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2.学位论文研究方案</w:t>
      </w:r>
    </w:p>
    <w:p w14:paraId="20170220"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研究目标、研究内容和拟解决的关键问题、拟采取的研究方法/技术路线/实验方案及可行性分析、可能的新意/创新之处等。</w:t>
      </w:r>
    </w:p>
    <w:p w14:paraId="2DB9519B"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3.预期</w:t>
      </w:r>
      <w:r w:rsidRPr="00471ACF">
        <w:rPr>
          <w:rFonts w:ascii="仿宋" w:eastAsia="仿宋" w:hAnsi="仿宋" w:hint="eastAsia"/>
          <w:sz w:val="32"/>
          <w:szCs w:val="32"/>
        </w:rPr>
        <w:t>达到的目标、预期的研究成果</w:t>
      </w:r>
    </w:p>
    <w:p w14:paraId="397C61D4"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4.学位论文工作计划</w:t>
      </w:r>
    </w:p>
    <w:p w14:paraId="73C1D688"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lastRenderedPageBreak/>
        <w:t>各学科（类别）可以根据自身的特点制定适合本学科（类别）的开题报告内容。</w:t>
      </w:r>
    </w:p>
    <w:p w14:paraId="6E501B69" w14:textId="77777777" w:rsidR="00471ACF" w:rsidRPr="00471ACF" w:rsidRDefault="00471ACF" w:rsidP="005F48BC">
      <w:pPr>
        <w:snapToGrid w:val="0"/>
        <w:spacing w:line="620" w:lineRule="exact"/>
        <w:ind w:firstLineChars="200" w:firstLine="640"/>
        <w:rPr>
          <w:rFonts w:ascii="黑体" w:eastAsia="黑体" w:hAnsi="黑体"/>
          <w:bCs/>
          <w:sz w:val="32"/>
          <w:szCs w:val="32"/>
        </w:rPr>
      </w:pPr>
      <w:r w:rsidRPr="00471ACF">
        <w:rPr>
          <w:rFonts w:ascii="黑体" w:eastAsia="黑体" w:hAnsi="黑体" w:hint="eastAsia"/>
          <w:bCs/>
          <w:sz w:val="32"/>
          <w:szCs w:val="32"/>
        </w:rPr>
        <w:t>四、开题审核小组组成</w:t>
      </w:r>
    </w:p>
    <w:p w14:paraId="12387CAA"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研究生学位论文开题由各二级培养单位组织安排，研究生所在学科（类别）负责具体实施。</w:t>
      </w:r>
    </w:p>
    <w:p w14:paraId="1C13406E"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二级培养单位以学科（类别）为单位成立开题报告审核小组，审核小组由3</w:t>
      </w:r>
      <w:r w:rsidRPr="00471ACF">
        <w:rPr>
          <w:rFonts w:ascii="仿宋" w:eastAsia="仿宋" w:hAnsi="仿宋"/>
          <w:sz w:val="32"/>
          <w:szCs w:val="32"/>
        </w:rPr>
        <w:t>-5</w:t>
      </w:r>
      <w:r w:rsidRPr="00471ACF">
        <w:rPr>
          <w:rFonts w:ascii="仿宋" w:eastAsia="仿宋" w:hAnsi="仿宋" w:hint="eastAsia"/>
          <w:sz w:val="32"/>
          <w:szCs w:val="32"/>
        </w:rPr>
        <w:t>人组成，组长具有正高级职称，组员由具有高级职称的同学科或相近学科专家组成。专业学位研究生开题还需邀请企业/行业专家1名。</w:t>
      </w:r>
    </w:p>
    <w:p w14:paraId="299B780E"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每个审核小组需配备秘书1人，负责开题具体工作（包括组织会议、记录会议提问和讨论的主要内容等）。</w:t>
      </w:r>
    </w:p>
    <w:p w14:paraId="4C597E7D" w14:textId="77777777" w:rsidR="00471ACF" w:rsidRPr="00471ACF" w:rsidRDefault="00471ACF" w:rsidP="005F48BC">
      <w:pPr>
        <w:snapToGrid w:val="0"/>
        <w:spacing w:line="620" w:lineRule="exact"/>
        <w:ind w:firstLineChars="200" w:firstLine="640"/>
        <w:rPr>
          <w:rFonts w:ascii="黑体" w:eastAsia="黑体" w:hAnsi="黑体"/>
          <w:bCs/>
          <w:sz w:val="32"/>
          <w:szCs w:val="32"/>
        </w:rPr>
      </w:pPr>
      <w:r w:rsidRPr="00471ACF">
        <w:rPr>
          <w:rFonts w:ascii="黑体" w:eastAsia="黑体" w:hAnsi="黑体" w:hint="eastAsia"/>
          <w:bCs/>
          <w:sz w:val="32"/>
          <w:szCs w:val="32"/>
        </w:rPr>
        <w:t>五、开题报告会的组织实施</w:t>
      </w:r>
    </w:p>
    <w:p w14:paraId="20564D3D"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1.三年制研究生</w:t>
      </w:r>
      <w:r w:rsidRPr="00471ACF">
        <w:rPr>
          <w:rFonts w:ascii="仿宋" w:eastAsia="仿宋" w:hAnsi="仿宋"/>
          <w:sz w:val="32"/>
          <w:szCs w:val="32"/>
        </w:rPr>
        <w:t>开题报告应在第三学期进行</w:t>
      </w:r>
      <w:r w:rsidRPr="00471ACF">
        <w:rPr>
          <w:rFonts w:ascii="仿宋" w:eastAsia="仿宋" w:hAnsi="仿宋" w:hint="eastAsia"/>
          <w:sz w:val="32"/>
          <w:szCs w:val="32"/>
        </w:rPr>
        <w:t>、两年制研究生</w:t>
      </w:r>
      <w:r w:rsidRPr="00471ACF">
        <w:rPr>
          <w:rFonts w:ascii="仿宋" w:eastAsia="仿宋" w:hAnsi="仿宋"/>
          <w:sz w:val="32"/>
          <w:szCs w:val="32"/>
        </w:rPr>
        <w:t>开题报告应在第</w:t>
      </w:r>
      <w:r w:rsidRPr="00471ACF">
        <w:rPr>
          <w:rFonts w:ascii="仿宋" w:eastAsia="仿宋" w:hAnsi="仿宋" w:hint="eastAsia"/>
          <w:sz w:val="32"/>
          <w:szCs w:val="32"/>
        </w:rPr>
        <w:t>二</w:t>
      </w:r>
      <w:r w:rsidRPr="00471ACF">
        <w:rPr>
          <w:rFonts w:ascii="仿宋" w:eastAsia="仿宋" w:hAnsi="仿宋"/>
          <w:sz w:val="32"/>
          <w:szCs w:val="32"/>
        </w:rPr>
        <w:t>学期进行</w:t>
      </w:r>
      <w:r w:rsidRPr="00471ACF">
        <w:rPr>
          <w:rFonts w:ascii="仿宋" w:eastAsia="仿宋" w:hAnsi="仿宋" w:hint="eastAsia"/>
          <w:sz w:val="32"/>
          <w:szCs w:val="32"/>
        </w:rPr>
        <w:t>。中期考核合格后方可开题，</w:t>
      </w:r>
      <w:r w:rsidRPr="00471ACF">
        <w:rPr>
          <w:rFonts w:ascii="仿宋" w:eastAsia="仿宋" w:hAnsi="仿宋"/>
          <w:sz w:val="32"/>
          <w:szCs w:val="32"/>
        </w:rPr>
        <w:t>开题报告结束后</w:t>
      </w:r>
      <w:r w:rsidRPr="00471ACF">
        <w:rPr>
          <w:rFonts w:ascii="仿宋" w:eastAsia="仿宋" w:hAnsi="仿宋" w:hint="eastAsia"/>
          <w:sz w:val="32"/>
          <w:szCs w:val="32"/>
        </w:rPr>
        <w:t>满一年才允许提交论文答辩的申请。</w:t>
      </w:r>
    </w:p>
    <w:p w14:paraId="29DDF01C"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2</w:t>
      </w:r>
      <w:r w:rsidRPr="00471ACF">
        <w:rPr>
          <w:rFonts w:ascii="仿宋" w:eastAsia="仿宋" w:hAnsi="仿宋" w:hint="eastAsia"/>
          <w:sz w:val="32"/>
          <w:szCs w:val="32"/>
        </w:rPr>
        <w:t>.各二级培养单位需将开题报告计划安排提前一周报送研究生部学位管理科备案。</w:t>
      </w:r>
    </w:p>
    <w:p w14:paraId="42511892"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3.</w:t>
      </w:r>
      <w:r w:rsidRPr="00471ACF">
        <w:rPr>
          <w:rFonts w:ascii="仿宋" w:eastAsia="仿宋" w:hAnsi="仿宋"/>
          <w:sz w:val="32"/>
          <w:szCs w:val="32"/>
        </w:rPr>
        <w:t>研究生将填写完成的《</w:t>
      </w:r>
      <w:r w:rsidRPr="00471ACF">
        <w:rPr>
          <w:rFonts w:ascii="仿宋" w:eastAsia="仿宋" w:hAnsi="仿宋" w:hint="eastAsia"/>
          <w:sz w:val="32"/>
          <w:szCs w:val="32"/>
        </w:rPr>
        <w:t>西华大学</w:t>
      </w:r>
      <w:r w:rsidRPr="00471ACF">
        <w:rPr>
          <w:rFonts w:ascii="仿宋" w:eastAsia="仿宋" w:hAnsi="仿宋"/>
          <w:sz w:val="32"/>
          <w:szCs w:val="32"/>
        </w:rPr>
        <w:t>硕士学位</w:t>
      </w:r>
      <w:r w:rsidRPr="00471ACF">
        <w:rPr>
          <w:rFonts w:ascii="仿宋" w:eastAsia="仿宋" w:hAnsi="仿宋" w:hint="eastAsia"/>
          <w:sz w:val="32"/>
          <w:szCs w:val="32"/>
        </w:rPr>
        <w:t>论文</w:t>
      </w:r>
      <w:r w:rsidRPr="00471ACF">
        <w:rPr>
          <w:rFonts w:ascii="仿宋" w:eastAsia="仿宋" w:hAnsi="仿宋"/>
          <w:sz w:val="32"/>
          <w:szCs w:val="32"/>
        </w:rPr>
        <w:t>开题</w:t>
      </w:r>
      <w:r w:rsidRPr="00471ACF">
        <w:rPr>
          <w:rFonts w:ascii="仿宋" w:eastAsia="仿宋" w:hAnsi="仿宋" w:hint="eastAsia"/>
          <w:sz w:val="32"/>
          <w:szCs w:val="32"/>
        </w:rPr>
        <w:t>报告》以及有关的参考文献、理论分析、调研等材料提前一周交给开题报告审核小组。</w:t>
      </w:r>
    </w:p>
    <w:p w14:paraId="3C286DEF"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4</w:t>
      </w:r>
      <w:r w:rsidRPr="00471ACF">
        <w:rPr>
          <w:rFonts w:ascii="仿宋" w:eastAsia="仿宋" w:hAnsi="仿宋" w:hint="eastAsia"/>
          <w:sz w:val="32"/>
          <w:szCs w:val="32"/>
        </w:rPr>
        <w:t>.开题报告审核小组对开题报告进行小组内预审，然后召集会议，由研究生向审核小组汇报开题报告内容。</w:t>
      </w:r>
    </w:p>
    <w:p w14:paraId="760E3BF1"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lastRenderedPageBreak/>
        <w:t>5</w:t>
      </w:r>
      <w:r w:rsidRPr="00471ACF">
        <w:rPr>
          <w:rFonts w:ascii="仿宋" w:eastAsia="仿宋" w:hAnsi="仿宋" w:hint="eastAsia"/>
          <w:sz w:val="32"/>
          <w:szCs w:val="32"/>
        </w:rPr>
        <w:t>.审核小组在</w:t>
      </w:r>
      <w:r w:rsidRPr="00471ACF">
        <w:rPr>
          <w:rFonts w:ascii="仿宋" w:eastAsia="仿宋" w:hAnsi="仿宋"/>
          <w:sz w:val="32"/>
          <w:szCs w:val="32"/>
        </w:rPr>
        <w:t>听取研究生</w:t>
      </w:r>
      <w:r w:rsidRPr="00471ACF">
        <w:rPr>
          <w:rFonts w:ascii="仿宋" w:eastAsia="仿宋" w:hAnsi="仿宋" w:hint="eastAsia"/>
          <w:sz w:val="32"/>
          <w:szCs w:val="32"/>
        </w:rPr>
        <w:t>汇报的基础上，对研究生开题报告情况进行评议，给出是否合格的结论和要求修改的意见。</w:t>
      </w:r>
    </w:p>
    <w:p w14:paraId="1B1E8FC1" w14:textId="77777777" w:rsidR="00471ACF" w:rsidRPr="00471ACF" w:rsidRDefault="00471ACF" w:rsidP="005F48BC">
      <w:pPr>
        <w:snapToGrid w:val="0"/>
        <w:spacing w:line="620" w:lineRule="exact"/>
        <w:ind w:firstLineChars="200" w:firstLine="640"/>
        <w:rPr>
          <w:rFonts w:ascii="黑体" w:eastAsia="黑体" w:hAnsi="黑体"/>
          <w:bCs/>
          <w:sz w:val="32"/>
          <w:szCs w:val="32"/>
        </w:rPr>
      </w:pPr>
      <w:r w:rsidRPr="00471ACF">
        <w:rPr>
          <w:rFonts w:ascii="黑体" w:eastAsia="黑体" w:hAnsi="黑体" w:hint="eastAsia"/>
          <w:bCs/>
          <w:sz w:val="32"/>
          <w:szCs w:val="32"/>
        </w:rPr>
        <w:t>六、开题报告的审核结果及处理办法</w:t>
      </w:r>
    </w:p>
    <w:p w14:paraId="7E7D94AF"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1</w:t>
      </w:r>
      <w:r w:rsidRPr="00471ACF">
        <w:rPr>
          <w:rFonts w:ascii="仿宋" w:eastAsia="仿宋" w:hAnsi="仿宋"/>
          <w:sz w:val="32"/>
          <w:szCs w:val="32"/>
        </w:rPr>
        <w:t>.开题</w:t>
      </w:r>
      <w:r w:rsidRPr="00471ACF">
        <w:rPr>
          <w:rFonts w:ascii="仿宋" w:eastAsia="仿宋" w:hAnsi="仿宋" w:hint="eastAsia"/>
          <w:sz w:val="32"/>
          <w:szCs w:val="32"/>
        </w:rPr>
        <w:t>报告</w:t>
      </w:r>
      <w:r w:rsidRPr="00471ACF">
        <w:rPr>
          <w:rFonts w:ascii="仿宋" w:eastAsia="仿宋" w:hAnsi="仿宋"/>
          <w:sz w:val="32"/>
          <w:szCs w:val="32"/>
        </w:rPr>
        <w:t>的</w:t>
      </w:r>
      <w:r w:rsidRPr="00471ACF">
        <w:rPr>
          <w:rFonts w:ascii="仿宋" w:eastAsia="仿宋" w:hAnsi="仿宋" w:hint="eastAsia"/>
          <w:sz w:val="32"/>
          <w:szCs w:val="32"/>
        </w:rPr>
        <w:t>审核结果按“合格”、“不合格”两个等级评定。</w:t>
      </w:r>
    </w:p>
    <w:p w14:paraId="32BDF8E8"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2.</w:t>
      </w:r>
      <w:r w:rsidRPr="00471ACF">
        <w:rPr>
          <w:rFonts w:ascii="仿宋" w:eastAsia="仿宋" w:hAnsi="仿宋" w:hint="eastAsia"/>
          <w:sz w:val="32"/>
          <w:szCs w:val="32"/>
        </w:rPr>
        <w:t>开题报告</w:t>
      </w:r>
      <w:r w:rsidRPr="00471ACF">
        <w:rPr>
          <w:rFonts w:ascii="仿宋" w:eastAsia="仿宋" w:hAnsi="仿宋"/>
          <w:sz w:val="32"/>
          <w:szCs w:val="32"/>
        </w:rPr>
        <w:t>的</w:t>
      </w:r>
      <w:r w:rsidRPr="00471ACF">
        <w:rPr>
          <w:rFonts w:ascii="仿宋" w:eastAsia="仿宋" w:hAnsi="仿宋" w:hint="eastAsia"/>
          <w:sz w:val="32"/>
          <w:szCs w:val="32"/>
        </w:rPr>
        <w:t>审核结果为合格的，方可进入论文工作阶段，需填写“西华大学硕士学位论文工作计划表”，并严格执行。</w:t>
      </w:r>
    </w:p>
    <w:p w14:paraId="3D02B585"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3.出现以下情况之</w:t>
      </w:r>
      <w:r w:rsidRPr="00471ACF">
        <w:rPr>
          <w:rFonts w:ascii="仿宋" w:eastAsia="仿宋" w:hAnsi="仿宋" w:hint="eastAsia"/>
          <w:sz w:val="32"/>
          <w:szCs w:val="32"/>
        </w:rPr>
        <w:t>一的，开题报告的审核结果记为“不合格”</w:t>
      </w:r>
      <w:r w:rsidRPr="00471ACF">
        <w:rPr>
          <w:rFonts w:ascii="仿宋" w:eastAsia="仿宋" w:hAnsi="仿宋"/>
          <w:sz w:val="32"/>
          <w:szCs w:val="32"/>
        </w:rPr>
        <w:t>：</w:t>
      </w:r>
    </w:p>
    <w:p w14:paraId="2BFA95F8" w14:textId="77777777" w:rsidR="00471ACF" w:rsidRPr="00471ACF" w:rsidRDefault="00D066D9" w:rsidP="005F48BC">
      <w:pPr>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w:t>
      </w:r>
      <w:r w:rsidR="00471ACF" w:rsidRPr="00471ACF">
        <w:rPr>
          <w:rFonts w:ascii="仿宋" w:eastAsia="仿宋" w:hAnsi="仿宋" w:hint="eastAsia"/>
          <w:sz w:val="32"/>
          <w:szCs w:val="32"/>
        </w:rPr>
        <w:t>1）学位论文的形式不符合所在学科（类别）学位要求的；</w:t>
      </w:r>
    </w:p>
    <w:p w14:paraId="47581F17" w14:textId="77777777" w:rsidR="00471ACF" w:rsidRPr="00471ACF" w:rsidRDefault="00D066D9" w:rsidP="005F48BC">
      <w:pPr>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w:t>
      </w:r>
      <w:r w:rsidR="00471ACF" w:rsidRPr="00471ACF">
        <w:rPr>
          <w:rFonts w:ascii="仿宋" w:eastAsia="仿宋" w:hAnsi="仿宋" w:hint="eastAsia"/>
          <w:sz w:val="32"/>
          <w:szCs w:val="32"/>
        </w:rPr>
        <w:t>2）论文选题不当，不符合本学科研究方向或不属于相关行业领域的，或预期目标过高、过低的；</w:t>
      </w:r>
    </w:p>
    <w:p w14:paraId="1AAD8096" w14:textId="77777777" w:rsidR="00471ACF" w:rsidRPr="00471ACF" w:rsidRDefault="00D066D9" w:rsidP="005F48BC">
      <w:pPr>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w:t>
      </w:r>
      <w:r w:rsidR="00471ACF" w:rsidRPr="00471ACF">
        <w:rPr>
          <w:rFonts w:ascii="仿宋" w:eastAsia="仿宋" w:hAnsi="仿宋" w:hint="eastAsia"/>
          <w:sz w:val="32"/>
          <w:szCs w:val="32"/>
        </w:rPr>
        <w:t>3）已进行的准备工作不充分的；</w:t>
      </w:r>
    </w:p>
    <w:p w14:paraId="0D2ABC0F" w14:textId="77777777" w:rsidR="00471ACF" w:rsidRPr="00471ACF" w:rsidRDefault="00D066D9" w:rsidP="005F48BC">
      <w:pPr>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w:t>
      </w:r>
      <w:r w:rsidR="00471ACF" w:rsidRPr="00471ACF">
        <w:rPr>
          <w:rFonts w:ascii="仿宋" w:eastAsia="仿宋" w:hAnsi="仿宋" w:hint="eastAsia"/>
          <w:sz w:val="32"/>
          <w:szCs w:val="32"/>
        </w:rPr>
        <w:t>4）研究进度缺乏严密性或可操作性，安排不周的；</w:t>
      </w:r>
    </w:p>
    <w:p w14:paraId="3B7D3C74" w14:textId="77777777" w:rsidR="00471ACF" w:rsidRPr="00471ACF" w:rsidRDefault="00D066D9" w:rsidP="005F48BC">
      <w:pPr>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w:t>
      </w:r>
      <w:r w:rsidR="00471ACF" w:rsidRPr="00471ACF">
        <w:rPr>
          <w:rFonts w:ascii="仿宋" w:eastAsia="仿宋" w:hAnsi="仿宋" w:hint="eastAsia"/>
          <w:sz w:val="32"/>
          <w:szCs w:val="32"/>
        </w:rPr>
        <w:t>5）开题报告审核小组认定不合格的。</w:t>
      </w:r>
    </w:p>
    <w:p w14:paraId="4E850009"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开题报告的审核结果为“不合格”的研究生，至少</w:t>
      </w:r>
      <w:r w:rsidRPr="00471ACF">
        <w:rPr>
          <w:rFonts w:ascii="仿宋" w:eastAsia="仿宋" w:hAnsi="仿宋"/>
          <w:sz w:val="32"/>
          <w:szCs w:val="32"/>
        </w:rPr>
        <w:t>2个月以后</w:t>
      </w:r>
      <w:r w:rsidRPr="00471ACF">
        <w:rPr>
          <w:rFonts w:ascii="仿宋" w:eastAsia="仿宋" w:hAnsi="仿宋" w:hint="eastAsia"/>
          <w:sz w:val="32"/>
          <w:szCs w:val="32"/>
        </w:rPr>
        <w:t>方可</w:t>
      </w:r>
      <w:r w:rsidRPr="00471ACF">
        <w:rPr>
          <w:rFonts w:ascii="仿宋" w:eastAsia="仿宋" w:hAnsi="仿宋"/>
          <w:sz w:val="32"/>
          <w:szCs w:val="32"/>
        </w:rPr>
        <w:t>申请重新开题</w:t>
      </w:r>
      <w:r w:rsidRPr="00471ACF">
        <w:rPr>
          <w:rFonts w:ascii="仿宋" w:eastAsia="仿宋" w:hAnsi="仿宋" w:hint="eastAsia"/>
          <w:sz w:val="32"/>
          <w:szCs w:val="32"/>
        </w:rPr>
        <w:t>，连续三次不合格的，报研究生部，按规定取消学籍，终止培养。</w:t>
      </w:r>
    </w:p>
    <w:p w14:paraId="5F5F4790"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4</w:t>
      </w:r>
      <w:r w:rsidRPr="00471ACF">
        <w:rPr>
          <w:rFonts w:ascii="仿宋" w:eastAsia="仿宋" w:hAnsi="仿宋"/>
          <w:sz w:val="32"/>
          <w:szCs w:val="32"/>
        </w:rPr>
        <w:t>.因故不能参加开题的研究生，应于开题前提出延迟参</w:t>
      </w:r>
      <w:r w:rsidRPr="00471ACF">
        <w:rPr>
          <w:rFonts w:ascii="仿宋" w:eastAsia="仿宋" w:hAnsi="仿宋" w:hint="eastAsia"/>
          <w:sz w:val="32"/>
          <w:szCs w:val="32"/>
        </w:rPr>
        <w:t>加开题的申请，获得导师、所在二级培养单位同意后，参加下一次开题。未经批准不按所在二级培养单位的要求参加开题的研究生，当次开题的审核结果记为“不合格”</w:t>
      </w:r>
      <w:r w:rsidRPr="00471ACF">
        <w:rPr>
          <w:rFonts w:ascii="仿宋" w:eastAsia="仿宋" w:hAnsi="仿宋"/>
          <w:sz w:val="32"/>
          <w:szCs w:val="32"/>
        </w:rPr>
        <w:t>。</w:t>
      </w:r>
    </w:p>
    <w:p w14:paraId="65494789" w14:textId="77777777" w:rsidR="00471ACF" w:rsidRPr="00471ACF" w:rsidRDefault="00471ACF" w:rsidP="005F48BC">
      <w:pPr>
        <w:snapToGrid w:val="0"/>
        <w:spacing w:line="620" w:lineRule="exact"/>
        <w:ind w:firstLineChars="200" w:firstLine="640"/>
        <w:rPr>
          <w:rFonts w:ascii="黑体" w:eastAsia="黑体" w:hAnsi="黑体"/>
          <w:bCs/>
          <w:sz w:val="32"/>
          <w:szCs w:val="32"/>
        </w:rPr>
      </w:pPr>
      <w:bookmarkStart w:id="1" w:name="_Hlk69207264"/>
      <w:r w:rsidRPr="00471ACF">
        <w:rPr>
          <w:rFonts w:ascii="黑体" w:eastAsia="黑体" w:hAnsi="黑体" w:hint="eastAsia"/>
          <w:bCs/>
          <w:sz w:val="32"/>
          <w:szCs w:val="32"/>
        </w:rPr>
        <w:t>七、开题报告资料的归档</w:t>
      </w:r>
    </w:p>
    <w:p w14:paraId="474A4602"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lastRenderedPageBreak/>
        <w:t>各二级培养单位研究生秘书将研究生开题报告的审核结果录入研究生管理系统，合格者记</w:t>
      </w:r>
      <w:r w:rsidRPr="00471ACF">
        <w:rPr>
          <w:rFonts w:ascii="仿宋" w:eastAsia="仿宋" w:hAnsi="仿宋"/>
          <w:sz w:val="32"/>
          <w:szCs w:val="32"/>
        </w:rPr>
        <w:t>2</w:t>
      </w:r>
      <w:r w:rsidRPr="00471ACF">
        <w:rPr>
          <w:rFonts w:ascii="仿宋" w:eastAsia="仿宋" w:hAnsi="仿宋" w:hint="eastAsia"/>
          <w:sz w:val="32"/>
          <w:szCs w:val="32"/>
        </w:rPr>
        <w:t>学分。</w:t>
      </w:r>
    </w:p>
    <w:p w14:paraId="076CA282"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研究生通过学位论文开题后，须在各二级培养单位规定时间内将“西华大学硕士学位论文开题报告”电子版和纸质版交到研究生秘书处，由二级培养单位研究生秘书统一保存。</w:t>
      </w:r>
    </w:p>
    <w:p w14:paraId="6DA2F84A"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开题报告的纸质文档一份放入学生个人学籍档案，一份存入二级培养单位环节课程教学档案袋。</w:t>
      </w:r>
    </w:p>
    <w:bookmarkEnd w:id="1"/>
    <w:p w14:paraId="201C2F63" w14:textId="77777777" w:rsidR="00471ACF" w:rsidRPr="00471ACF" w:rsidRDefault="00471ACF" w:rsidP="005F48BC">
      <w:pPr>
        <w:snapToGrid w:val="0"/>
        <w:spacing w:line="620" w:lineRule="exact"/>
        <w:ind w:firstLineChars="200" w:firstLine="640"/>
        <w:rPr>
          <w:rFonts w:ascii="黑体" w:eastAsia="黑体" w:hAnsi="黑体"/>
          <w:bCs/>
          <w:sz w:val="32"/>
          <w:szCs w:val="32"/>
        </w:rPr>
      </w:pPr>
      <w:r w:rsidRPr="00471ACF">
        <w:rPr>
          <w:rFonts w:ascii="黑体" w:eastAsia="黑体" w:hAnsi="黑体" w:hint="eastAsia"/>
          <w:bCs/>
          <w:sz w:val="32"/>
          <w:szCs w:val="32"/>
        </w:rPr>
        <w:t>八、学位论文题目变更要求及程序</w:t>
      </w:r>
    </w:p>
    <w:p w14:paraId="7452B038"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1</w:t>
      </w:r>
      <w:r w:rsidRPr="00471ACF">
        <w:rPr>
          <w:rFonts w:ascii="仿宋" w:eastAsia="仿宋" w:hAnsi="仿宋"/>
          <w:sz w:val="32"/>
          <w:szCs w:val="32"/>
        </w:rPr>
        <w:t>.</w:t>
      </w:r>
      <w:r w:rsidRPr="00471ACF">
        <w:rPr>
          <w:rFonts w:ascii="仿宋" w:eastAsia="仿宋" w:hAnsi="仿宋" w:hint="eastAsia"/>
          <w:sz w:val="32"/>
          <w:szCs w:val="32"/>
        </w:rPr>
        <w:t>学位论文开题通过后，不得随意更改题目。研究生申请学位论文答辩时提交的学位论文，其研究方向和主要研究内容应与开题报告一致。</w:t>
      </w:r>
    </w:p>
    <w:p w14:paraId="233F4A95"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2.</w:t>
      </w:r>
      <w:r w:rsidRPr="00471ACF">
        <w:rPr>
          <w:rFonts w:ascii="仿宋" w:eastAsia="仿宋" w:hAnsi="仿宋" w:hint="eastAsia"/>
          <w:sz w:val="32"/>
          <w:szCs w:val="32"/>
        </w:rPr>
        <w:t>在不涉及研究方向和主要研究内容改变的情况下，学位论文题目可做细微调整。研究生提出申请，导师同意后，按新题目进行后续研究。</w:t>
      </w:r>
    </w:p>
    <w:p w14:paraId="4E1D01E2"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3.</w:t>
      </w:r>
      <w:r w:rsidRPr="00471ACF">
        <w:rPr>
          <w:rFonts w:ascii="仿宋" w:eastAsia="仿宋" w:hAnsi="仿宋" w:hint="eastAsia"/>
          <w:sz w:val="32"/>
          <w:szCs w:val="32"/>
        </w:rPr>
        <w:t>如遇到研究条件不足、研究方法不合理等特殊情况时须进行学位论文题目变更的，由研究生提出申请，导师同意签字后，提交二级培养单位学位评定分委员会进行审议。</w:t>
      </w:r>
    </w:p>
    <w:p w14:paraId="49DE0714"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4.</w:t>
      </w:r>
      <w:r w:rsidRPr="00471ACF">
        <w:rPr>
          <w:rFonts w:ascii="仿宋" w:eastAsia="仿宋" w:hAnsi="仿宋" w:hint="eastAsia"/>
          <w:sz w:val="32"/>
          <w:szCs w:val="32"/>
        </w:rPr>
        <w:t>学位论文研究内容如发生实质性变化的，须重新开题，开题通过一年后方可申请论文答辩。</w:t>
      </w:r>
    </w:p>
    <w:p w14:paraId="65C26B25"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sz w:val="32"/>
          <w:szCs w:val="32"/>
        </w:rPr>
        <w:t>5.</w:t>
      </w:r>
      <w:r w:rsidRPr="00471ACF">
        <w:rPr>
          <w:rFonts w:ascii="仿宋" w:eastAsia="仿宋" w:hAnsi="仿宋" w:hint="eastAsia"/>
          <w:sz w:val="32"/>
          <w:szCs w:val="32"/>
        </w:rPr>
        <w:t>如未办理有关审批手续自行更改学位论文题目，导致后续培养环节无法正常进行的，责任由研究生自负。</w:t>
      </w:r>
    </w:p>
    <w:p w14:paraId="6E956552" w14:textId="77777777" w:rsidR="00471ACF" w:rsidRPr="00471ACF" w:rsidRDefault="00471ACF" w:rsidP="005F48BC">
      <w:pPr>
        <w:snapToGrid w:val="0"/>
        <w:spacing w:line="620" w:lineRule="exact"/>
        <w:ind w:firstLineChars="200" w:firstLine="640"/>
        <w:rPr>
          <w:rFonts w:ascii="黑体" w:eastAsia="黑体" w:hAnsi="黑体"/>
          <w:bCs/>
          <w:sz w:val="32"/>
          <w:szCs w:val="32"/>
        </w:rPr>
      </w:pPr>
      <w:r w:rsidRPr="00471ACF">
        <w:rPr>
          <w:rFonts w:ascii="黑体" w:eastAsia="黑体" w:hAnsi="黑体" w:hint="eastAsia"/>
          <w:bCs/>
          <w:sz w:val="32"/>
          <w:szCs w:val="32"/>
        </w:rPr>
        <w:t>九、附则</w:t>
      </w:r>
    </w:p>
    <w:p w14:paraId="745CF6CB"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1</w:t>
      </w:r>
      <w:r w:rsidRPr="00471ACF">
        <w:rPr>
          <w:rFonts w:ascii="仿宋" w:eastAsia="仿宋" w:hAnsi="仿宋"/>
          <w:sz w:val="32"/>
          <w:szCs w:val="32"/>
        </w:rPr>
        <w:t>.</w:t>
      </w:r>
      <w:r w:rsidRPr="00471ACF">
        <w:rPr>
          <w:rFonts w:ascii="仿宋" w:eastAsia="仿宋" w:hAnsi="仿宋" w:hint="eastAsia"/>
          <w:sz w:val="32"/>
          <w:szCs w:val="32"/>
        </w:rPr>
        <w:t>本办法自发布之日起施行，凡过去有关办法与本办法不一致的，以本办法为准。</w:t>
      </w:r>
    </w:p>
    <w:p w14:paraId="2D74BB44" w14:textId="77777777" w:rsidR="00471ACF" w:rsidRPr="00471ACF" w:rsidRDefault="00471ACF" w:rsidP="005F48BC">
      <w:pPr>
        <w:snapToGrid w:val="0"/>
        <w:spacing w:line="620" w:lineRule="exact"/>
        <w:ind w:firstLineChars="200" w:firstLine="640"/>
        <w:rPr>
          <w:rFonts w:ascii="仿宋" w:eastAsia="仿宋" w:hAnsi="仿宋"/>
          <w:sz w:val="32"/>
          <w:szCs w:val="32"/>
        </w:rPr>
      </w:pPr>
      <w:r w:rsidRPr="00471ACF">
        <w:rPr>
          <w:rFonts w:ascii="仿宋" w:eastAsia="仿宋" w:hAnsi="仿宋" w:hint="eastAsia"/>
          <w:sz w:val="32"/>
          <w:szCs w:val="32"/>
        </w:rPr>
        <w:t>2</w:t>
      </w:r>
      <w:r w:rsidRPr="00471ACF">
        <w:rPr>
          <w:rFonts w:ascii="仿宋" w:eastAsia="仿宋" w:hAnsi="仿宋"/>
          <w:sz w:val="32"/>
          <w:szCs w:val="32"/>
        </w:rPr>
        <w:t>.</w:t>
      </w:r>
      <w:r w:rsidRPr="00471ACF">
        <w:rPr>
          <w:rFonts w:ascii="仿宋" w:eastAsia="仿宋" w:hAnsi="仿宋" w:hint="eastAsia"/>
          <w:sz w:val="32"/>
          <w:szCs w:val="32"/>
        </w:rPr>
        <w:t>本办法由研究生部负责解释。</w:t>
      </w:r>
    </w:p>
    <w:p w14:paraId="7240DA5F" w14:textId="77777777" w:rsidR="00471ACF" w:rsidRPr="00211DD6" w:rsidRDefault="00471ACF">
      <w:pPr>
        <w:rPr>
          <w:rFonts w:ascii="仿宋" w:eastAsia="仿宋" w:hAnsi="仿宋"/>
          <w:sz w:val="24"/>
        </w:rPr>
      </w:pPr>
    </w:p>
    <w:p w14:paraId="3D0650F8" w14:textId="77777777" w:rsidR="00541284" w:rsidRPr="00541284" w:rsidRDefault="00541284" w:rsidP="00541284">
      <w:pPr>
        <w:tabs>
          <w:tab w:val="left" w:pos="5543"/>
        </w:tabs>
        <w:spacing w:line="600" w:lineRule="exact"/>
        <w:ind w:right="800"/>
        <w:jc w:val="right"/>
        <w:rPr>
          <w:rFonts w:ascii="方正仿宋_GBK" w:eastAsia="方正仿宋_GBK"/>
          <w:sz w:val="32"/>
          <w:szCs w:val="32"/>
        </w:rPr>
      </w:pPr>
    </w:p>
    <w:p w14:paraId="365D07A5" w14:textId="77777777" w:rsidR="000F7320" w:rsidRDefault="000F7320"/>
    <w:p w14:paraId="29FB1EB5" w14:textId="77777777" w:rsidR="002C0945" w:rsidRDefault="002C0945"/>
    <w:p w14:paraId="21D5D076" w14:textId="77777777" w:rsidR="002C0945" w:rsidRDefault="002C0945"/>
    <w:p w14:paraId="22AAF604" w14:textId="77777777" w:rsidR="002C0945" w:rsidRDefault="002C0945"/>
    <w:p w14:paraId="13ACC54F" w14:textId="77777777" w:rsidR="002C0945" w:rsidRDefault="002C0945"/>
    <w:p w14:paraId="661A109C" w14:textId="77777777" w:rsidR="002C0945" w:rsidRDefault="002C0945"/>
    <w:p w14:paraId="10FC1142" w14:textId="77777777" w:rsidR="002C0945" w:rsidRDefault="002C0945"/>
    <w:p w14:paraId="312EC9A0" w14:textId="77777777"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14BF5002" w14:textId="77777777" w:rsidTr="002C0945">
        <w:trPr>
          <w:trHeight w:val="559"/>
        </w:trPr>
        <w:tc>
          <w:tcPr>
            <w:tcW w:w="4530" w:type="dxa"/>
            <w:shd w:val="clear" w:color="auto" w:fill="auto"/>
            <w:vAlign w:val="bottom"/>
          </w:tcPr>
          <w:p w14:paraId="6AF9BEE3" w14:textId="77777777" w:rsidR="002C0945" w:rsidRPr="002B7AA6" w:rsidRDefault="002C0945" w:rsidP="00471ACF">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0A1CFA69" w14:textId="77777777" w:rsidR="002C0945" w:rsidRPr="002B7AA6" w:rsidRDefault="002C0945" w:rsidP="00471ACF">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471ACF">
              <w:rPr>
                <w:rFonts w:ascii="仿宋" w:eastAsia="仿宋" w:hAnsi="仿宋"/>
                <w:sz w:val="32"/>
                <w:szCs w:val="32"/>
              </w:rPr>
              <w:t>2</w:t>
            </w:r>
            <w:r w:rsidR="002B7AA6">
              <w:rPr>
                <w:rFonts w:ascii="仿宋" w:eastAsia="仿宋" w:hAnsi="仿宋"/>
                <w:sz w:val="32"/>
                <w:szCs w:val="32"/>
              </w:rPr>
              <w:t>1</w:t>
            </w:r>
            <w:r w:rsidRPr="002B7AA6">
              <w:rPr>
                <w:rFonts w:ascii="仿宋" w:eastAsia="仿宋" w:hAnsi="仿宋" w:hint="eastAsia"/>
                <w:sz w:val="32"/>
                <w:szCs w:val="32"/>
              </w:rPr>
              <w:t>年</w:t>
            </w:r>
            <w:r w:rsidR="00471ACF">
              <w:rPr>
                <w:rFonts w:ascii="仿宋" w:eastAsia="仿宋" w:hAnsi="仿宋"/>
                <w:sz w:val="32"/>
                <w:szCs w:val="32"/>
              </w:rPr>
              <w:t>7</w:t>
            </w:r>
            <w:r w:rsidRPr="002B7AA6">
              <w:rPr>
                <w:rFonts w:ascii="仿宋" w:eastAsia="仿宋" w:hAnsi="仿宋" w:hint="eastAsia"/>
                <w:sz w:val="32"/>
                <w:szCs w:val="32"/>
              </w:rPr>
              <w:t>月1</w:t>
            </w:r>
            <w:r w:rsidR="00471ACF">
              <w:rPr>
                <w:rFonts w:ascii="仿宋" w:eastAsia="仿宋" w:hAnsi="仿宋"/>
                <w:sz w:val="32"/>
                <w:szCs w:val="32"/>
              </w:rPr>
              <w:t>9</w:t>
            </w:r>
            <w:r w:rsidRPr="002B7AA6">
              <w:rPr>
                <w:rFonts w:ascii="仿宋" w:eastAsia="仿宋" w:hAnsi="仿宋" w:hint="eastAsia"/>
                <w:sz w:val="32"/>
                <w:szCs w:val="32"/>
              </w:rPr>
              <w:t>日印</w:t>
            </w:r>
          </w:p>
        </w:tc>
      </w:tr>
      <w:tr w:rsidR="002C0945" w14:paraId="18E1E0B9" w14:textId="77777777" w:rsidTr="002C0945">
        <w:trPr>
          <w:trHeight w:val="113"/>
        </w:trPr>
        <w:tc>
          <w:tcPr>
            <w:tcW w:w="9060" w:type="dxa"/>
            <w:gridSpan w:val="2"/>
            <w:shd w:val="clear" w:color="auto" w:fill="auto"/>
            <w:vAlign w:val="bottom"/>
          </w:tcPr>
          <w:p w14:paraId="0A6D299B" w14:textId="77777777" w:rsidR="002C0945" w:rsidRPr="002B7AA6" w:rsidRDefault="002C0945" w:rsidP="00471ACF">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471ACF">
              <w:rPr>
                <w:rFonts w:ascii="仿宋" w:eastAsia="仿宋" w:hAnsi="仿宋" w:hint="eastAsia"/>
                <w:sz w:val="32"/>
                <w:szCs w:val="32"/>
              </w:rPr>
              <w:t>王辉艳（研究生部）</w:t>
            </w:r>
          </w:p>
        </w:tc>
      </w:tr>
    </w:tbl>
    <w:p w14:paraId="2C76E2A3" w14:textId="77777777" w:rsidR="002C0945" w:rsidRDefault="002C0945"/>
    <w:sectPr w:rsidR="002C0945" w:rsidSect="00471ACF">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E33A" w14:textId="77777777" w:rsidR="000A4776" w:rsidRDefault="000A4776">
      <w:r>
        <w:separator/>
      </w:r>
    </w:p>
  </w:endnote>
  <w:endnote w:type="continuationSeparator" w:id="0">
    <w:p w14:paraId="3DFE356C" w14:textId="77777777" w:rsidR="000A4776" w:rsidRDefault="000A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0B98" w14:textId="77777777" w:rsidR="00C36F59" w:rsidRPr="00471ACF" w:rsidRDefault="00C36F59" w:rsidP="00C86E8D">
    <w:pPr>
      <w:pStyle w:val="a4"/>
      <w:framePr w:wrap="around" w:vAnchor="text" w:hAnchor="margin" w:xAlign="outside" w:y="1"/>
      <w:rPr>
        <w:rStyle w:val="a6"/>
        <w:rFonts w:asciiTheme="minorEastAsia" w:eastAsiaTheme="minorEastAsia" w:hAnsiTheme="minorEastAsia"/>
        <w:sz w:val="28"/>
        <w:szCs w:val="28"/>
      </w:rPr>
    </w:pPr>
    <w:r w:rsidRPr="00471ACF">
      <w:rPr>
        <w:rStyle w:val="a6"/>
        <w:rFonts w:asciiTheme="minorEastAsia" w:eastAsiaTheme="minorEastAsia" w:hAnsiTheme="minorEastAsia"/>
        <w:sz w:val="28"/>
        <w:szCs w:val="28"/>
      </w:rPr>
      <w:fldChar w:fldCharType="begin"/>
    </w:r>
    <w:r w:rsidRPr="00471ACF">
      <w:rPr>
        <w:rStyle w:val="a6"/>
        <w:rFonts w:asciiTheme="minorEastAsia" w:eastAsiaTheme="minorEastAsia" w:hAnsiTheme="minorEastAsia"/>
        <w:sz w:val="28"/>
        <w:szCs w:val="28"/>
      </w:rPr>
      <w:instrText xml:space="preserve">PAGE  </w:instrText>
    </w:r>
    <w:r w:rsidRPr="00471ACF">
      <w:rPr>
        <w:rStyle w:val="a6"/>
        <w:rFonts w:asciiTheme="minorEastAsia" w:eastAsiaTheme="minorEastAsia" w:hAnsiTheme="minorEastAsia"/>
        <w:sz w:val="28"/>
        <w:szCs w:val="28"/>
      </w:rPr>
      <w:fldChar w:fldCharType="separate"/>
    </w:r>
    <w:r w:rsidR="00D066D9">
      <w:rPr>
        <w:rStyle w:val="a6"/>
        <w:rFonts w:asciiTheme="minorEastAsia" w:eastAsiaTheme="minorEastAsia" w:hAnsiTheme="minorEastAsia"/>
        <w:noProof/>
        <w:sz w:val="28"/>
        <w:szCs w:val="28"/>
      </w:rPr>
      <w:t>- 6 -</w:t>
    </w:r>
    <w:r w:rsidRPr="00471ACF">
      <w:rPr>
        <w:rStyle w:val="a6"/>
        <w:rFonts w:asciiTheme="minorEastAsia" w:eastAsiaTheme="minorEastAsia" w:hAnsiTheme="minorEastAsia"/>
        <w:sz w:val="28"/>
        <w:szCs w:val="28"/>
      </w:rPr>
      <w:fldChar w:fldCharType="end"/>
    </w:r>
  </w:p>
  <w:p w14:paraId="15829918" w14:textId="77777777" w:rsidR="00C36F59" w:rsidRPr="00471ACF" w:rsidRDefault="00C36F59" w:rsidP="00D209E6">
    <w:pPr>
      <w:pStyle w:val="a4"/>
      <w:ind w:right="360" w:firstLine="360"/>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D3D2" w14:textId="77777777" w:rsidR="002C0945" w:rsidRPr="00471ACF" w:rsidRDefault="002C0945" w:rsidP="00471ACF">
    <w:pPr>
      <w:pStyle w:val="a4"/>
      <w:jc w:val="right"/>
      <w:rPr>
        <w:rFonts w:asciiTheme="minorEastAsia" w:eastAsiaTheme="minorEastAsia" w:hAnsiTheme="minorEastAsia"/>
        <w:sz w:val="28"/>
        <w:szCs w:val="28"/>
      </w:rPr>
    </w:pPr>
    <w:r w:rsidRPr="00471ACF">
      <w:rPr>
        <w:rFonts w:asciiTheme="minorEastAsia" w:eastAsiaTheme="minorEastAsia" w:hAnsiTheme="minorEastAsia"/>
        <w:sz w:val="28"/>
        <w:szCs w:val="28"/>
      </w:rPr>
      <w:fldChar w:fldCharType="begin"/>
    </w:r>
    <w:r w:rsidRPr="00471ACF">
      <w:rPr>
        <w:rFonts w:asciiTheme="minorEastAsia" w:eastAsiaTheme="minorEastAsia" w:hAnsiTheme="minorEastAsia"/>
        <w:sz w:val="28"/>
        <w:szCs w:val="28"/>
      </w:rPr>
      <w:instrText>PAGE   \* MERGEFORMAT</w:instrText>
    </w:r>
    <w:r w:rsidRPr="00471ACF">
      <w:rPr>
        <w:rFonts w:asciiTheme="minorEastAsia" w:eastAsiaTheme="minorEastAsia" w:hAnsiTheme="minorEastAsia"/>
        <w:sz w:val="28"/>
        <w:szCs w:val="28"/>
      </w:rPr>
      <w:fldChar w:fldCharType="separate"/>
    </w:r>
    <w:r w:rsidR="001A440C" w:rsidRPr="001A440C">
      <w:rPr>
        <w:rFonts w:asciiTheme="minorEastAsia" w:eastAsiaTheme="minorEastAsia" w:hAnsiTheme="minorEastAsia"/>
        <w:noProof/>
        <w:sz w:val="28"/>
        <w:szCs w:val="28"/>
        <w:lang w:val="zh-CN"/>
      </w:rPr>
      <w:t>-</w:t>
    </w:r>
    <w:r w:rsidR="001A440C">
      <w:rPr>
        <w:rFonts w:asciiTheme="minorEastAsia" w:eastAsiaTheme="minorEastAsia" w:hAnsiTheme="minorEastAsia"/>
        <w:noProof/>
        <w:sz w:val="28"/>
        <w:szCs w:val="28"/>
      </w:rPr>
      <w:t xml:space="preserve"> 1 -</w:t>
    </w:r>
    <w:r w:rsidRPr="00471ACF">
      <w:rPr>
        <w:rFonts w:asciiTheme="minorEastAsia" w:eastAsiaTheme="minorEastAsia" w:hAnsiTheme="minorEastAsia"/>
        <w:sz w:val="28"/>
        <w:szCs w:val="28"/>
      </w:rPr>
      <w:fldChar w:fldCharType="end"/>
    </w:r>
  </w:p>
  <w:p w14:paraId="3C69F109" w14:textId="77777777" w:rsidR="00C36F59" w:rsidRDefault="00C36F59" w:rsidP="00D209E6">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BE6E" w14:textId="77777777" w:rsidR="000A4776" w:rsidRDefault="000A4776">
      <w:r>
        <w:separator/>
      </w:r>
    </w:p>
  </w:footnote>
  <w:footnote w:type="continuationSeparator" w:id="0">
    <w:p w14:paraId="30A48A9B" w14:textId="77777777" w:rsidR="000A4776" w:rsidRDefault="000A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C79B" w14:textId="77777777"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sQx6b2y+2PD/yVdbmELmp3dGmfsEsCPfCnNIDRM16uZqz96LMjhsX8Mtw4TAI0U0K1yiwPAglURDWPTwJ6Pxw==" w:salt="qrI6hHG4oxGd4r4e5o0lf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A4776"/>
    <w:rsid w:val="000A5DC3"/>
    <w:rsid w:val="000F7320"/>
    <w:rsid w:val="00105F5F"/>
    <w:rsid w:val="001524A5"/>
    <w:rsid w:val="00184910"/>
    <w:rsid w:val="001A440C"/>
    <w:rsid w:val="001D1306"/>
    <w:rsid w:val="001F368B"/>
    <w:rsid w:val="00232659"/>
    <w:rsid w:val="00243D47"/>
    <w:rsid w:val="002B0824"/>
    <w:rsid w:val="002B7AA6"/>
    <w:rsid w:val="002C0945"/>
    <w:rsid w:val="003471FD"/>
    <w:rsid w:val="003D669E"/>
    <w:rsid w:val="00404F67"/>
    <w:rsid w:val="004332E0"/>
    <w:rsid w:val="00471ACF"/>
    <w:rsid w:val="004B0378"/>
    <w:rsid w:val="00541284"/>
    <w:rsid w:val="005F48BC"/>
    <w:rsid w:val="0065514B"/>
    <w:rsid w:val="006B5C44"/>
    <w:rsid w:val="007306FE"/>
    <w:rsid w:val="007F3400"/>
    <w:rsid w:val="00803D9E"/>
    <w:rsid w:val="00897169"/>
    <w:rsid w:val="008A2AE9"/>
    <w:rsid w:val="008B0B53"/>
    <w:rsid w:val="008B7CA8"/>
    <w:rsid w:val="008C0B38"/>
    <w:rsid w:val="009277DC"/>
    <w:rsid w:val="009A3350"/>
    <w:rsid w:val="009F23A1"/>
    <w:rsid w:val="00A10E77"/>
    <w:rsid w:val="00A775AB"/>
    <w:rsid w:val="00A912E2"/>
    <w:rsid w:val="00AA67FC"/>
    <w:rsid w:val="00AB7531"/>
    <w:rsid w:val="00AD369E"/>
    <w:rsid w:val="00AE754F"/>
    <w:rsid w:val="00B72C95"/>
    <w:rsid w:val="00BE1749"/>
    <w:rsid w:val="00BE59F9"/>
    <w:rsid w:val="00C36F59"/>
    <w:rsid w:val="00C41EB5"/>
    <w:rsid w:val="00C86E8D"/>
    <w:rsid w:val="00C94199"/>
    <w:rsid w:val="00C970ED"/>
    <w:rsid w:val="00D066D9"/>
    <w:rsid w:val="00D209E6"/>
    <w:rsid w:val="00D35019"/>
    <w:rsid w:val="00D407A1"/>
    <w:rsid w:val="00D52850"/>
    <w:rsid w:val="00E5730D"/>
    <w:rsid w:val="00EB709D"/>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DA1DCB"/>
  <w15:chartTrackingRefBased/>
  <w15:docId w15:val="{B3539306-DD6F-4E83-B0BB-FC7DC676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paragraph" w:styleId="a7">
    <w:name w:val="Balloon Text"/>
    <w:basedOn w:val="a"/>
    <w:link w:val="a8"/>
    <w:semiHidden/>
    <w:unhideWhenUsed/>
    <w:rsid w:val="00B72C95"/>
    <w:rPr>
      <w:sz w:val="18"/>
      <w:szCs w:val="18"/>
    </w:rPr>
  </w:style>
  <w:style w:type="character" w:customStyle="1" w:styleId="a8">
    <w:name w:val="批注框文本 字符"/>
    <w:basedOn w:val="a0"/>
    <w:link w:val="a7"/>
    <w:semiHidden/>
    <w:rsid w:val="00B72C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2021-07-30T00:17:00Z</dcterms:created>
  <dcterms:modified xsi:type="dcterms:W3CDTF">2021-07-30T00:17:00Z</dcterms:modified>
</cp:coreProperties>
</file>